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94E9" w14:textId="77777777" w:rsidR="009458BB" w:rsidRDefault="00187D03" w:rsidP="00867419">
      <w:pPr>
        <w:rPr>
          <w:b/>
          <w:bCs/>
        </w:rPr>
      </w:pPr>
      <w:r>
        <w:rPr>
          <w:b/>
          <w:bCs/>
        </w:rPr>
        <w:t>Besluit m</w:t>
      </w:r>
      <w:r w:rsidR="00EA64C3">
        <w:rPr>
          <w:b/>
          <w:bCs/>
        </w:rPr>
        <w:t>andaat, machtiging en volmach</w:t>
      </w:r>
      <w:r w:rsidR="00EA64C3" w:rsidRPr="00187D03">
        <w:rPr>
          <w:b/>
          <w:bCs/>
        </w:rPr>
        <w:t>t</w:t>
      </w:r>
      <w:r w:rsidRPr="00187D03">
        <w:rPr>
          <w:b/>
          <w:bCs/>
        </w:rPr>
        <w:t xml:space="preserve"> in verband met Wet wijziging woonplaatsbeginsel</w:t>
      </w:r>
      <w:r>
        <w:rPr>
          <w:b/>
          <w:bCs/>
        </w:rPr>
        <w:t xml:space="preserve"> </w:t>
      </w:r>
      <w:r w:rsidR="00523B38">
        <w:rPr>
          <w:rStyle w:val="Voetnootmarkering"/>
          <w:b/>
          <w:bCs/>
        </w:rPr>
        <w:footnoteReference w:id="1"/>
      </w:r>
    </w:p>
    <w:p w14:paraId="1CC78231" w14:textId="77777777" w:rsidR="00EA64C3" w:rsidRDefault="00EA64C3" w:rsidP="00867419">
      <w:pPr>
        <w:rPr>
          <w:b/>
          <w:bCs/>
        </w:rPr>
      </w:pPr>
    </w:p>
    <w:p w14:paraId="2CDA5995" w14:textId="77777777" w:rsidR="00EA64C3" w:rsidRDefault="00EA64C3" w:rsidP="00867419">
      <w:r>
        <w:t xml:space="preserve">Het college van burgemeester en wethouders en de burgemeester van de gemeente </w:t>
      </w:r>
      <w:r w:rsidR="00EB5A38" w:rsidRPr="00EB5A38">
        <w:rPr>
          <w:highlight w:val="yellow"/>
        </w:rPr>
        <w:t>Invoegen gegevens mandaatgever</w:t>
      </w:r>
      <w:r w:rsidR="0018657F">
        <w:t xml:space="preserve"> (hierna ’de Gemeente)</w:t>
      </w:r>
      <w:r w:rsidR="00376EA6">
        <w:t>.</w:t>
      </w:r>
      <w:r w:rsidR="00523B38">
        <w:rPr>
          <w:rStyle w:val="Voetnootmarkering"/>
        </w:rPr>
        <w:footnoteReference w:id="2"/>
      </w:r>
    </w:p>
    <w:p w14:paraId="4FAB836B" w14:textId="77777777" w:rsidR="00EA64C3" w:rsidRDefault="00EA64C3" w:rsidP="00867419"/>
    <w:p w14:paraId="01DD74FE" w14:textId="77777777" w:rsidR="00EA64C3" w:rsidRDefault="00EA64C3" w:rsidP="00867419"/>
    <w:p w14:paraId="27DDF4F0" w14:textId="77777777" w:rsidR="00EA64C3" w:rsidRDefault="00EA64C3" w:rsidP="00867419">
      <w:r>
        <w:t>Gelet op de wettelijke voorschriften, in het bijzonder afdeling 10.1.1 van de Algemene wet bestuursrecht, de artikelen 16</w:t>
      </w:r>
      <w:r w:rsidR="00BE6AD6">
        <w:t>0</w:t>
      </w:r>
      <w:r>
        <w:t xml:space="preserve"> en 171 van de Gemeentewet en titel 3 van boek 3 van het Burgerlijk Wetboek;</w:t>
      </w:r>
    </w:p>
    <w:p w14:paraId="090A6BAB" w14:textId="77777777" w:rsidR="00EA64C3" w:rsidRDefault="00EA64C3" w:rsidP="00867419"/>
    <w:p w14:paraId="6FD12662" w14:textId="77777777" w:rsidR="00EA64C3" w:rsidRDefault="00523B38" w:rsidP="00867419">
      <w:pPr>
        <w:rPr>
          <w:b/>
          <w:bCs/>
        </w:rPr>
      </w:pPr>
      <w:r>
        <w:rPr>
          <w:b/>
          <w:bCs/>
        </w:rPr>
        <w:t>IN AANMERKING NEMENDE DAT</w:t>
      </w:r>
    </w:p>
    <w:p w14:paraId="45BA5E55" w14:textId="77777777" w:rsidR="00523B38" w:rsidRDefault="00523B38" w:rsidP="00867419">
      <w:pPr>
        <w:rPr>
          <w:b/>
          <w:bCs/>
        </w:rPr>
      </w:pPr>
    </w:p>
    <w:p w14:paraId="19C1CFE7" w14:textId="77777777" w:rsidR="00523B38" w:rsidRPr="008715BB" w:rsidRDefault="008715BB" w:rsidP="008715BB">
      <w:pPr>
        <w:pStyle w:val="Lijstalinea"/>
        <w:numPr>
          <w:ilvl w:val="0"/>
          <w:numId w:val="3"/>
        </w:numPr>
      </w:pPr>
      <w:r w:rsidRPr="008715BB">
        <w:t xml:space="preserve">De </w:t>
      </w:r>
      <w:r w:rsidR="0018657F">
        <w:t>G</w:t>
      </w:r>
      <w:r w:rsidRPr="008715BB">
        <w:t>emeente op grond van de Jeugdwet een zorgplicht heeft en ervoor dient te zorgen dat jeugdigen die dat nodig hebben passende jeugdhulp kunnen ontvangen;</w:t>
      </w:r>
    </w:p>
    <w:p w14:paraId="3B518F69" w14:textId="77777777" w:rsidR="008715BB" w:rsidRPr="00024340" w:rsidRDefault="008715BB" w:rsidP="008715BB">
      <w:pPr>
        <w:pStyle w:val="Lijstalinea"/>
        <w:numPr>
          <w:ilvl w:val="0"/>
          <w:numId w:val="3"/>
        </w:numPr>
      </w:pPr>
      <w:r w:rsidRPr="00024340">
        <w:t xml:space="preserve">Met ingang van 1 januari 2022 </w:t>
      </w:r>
      <w:r w:rsidR="00024340">
        <w:t>de ‘Wet wijziging woonplaatsbeginsel’</w:t>
      </w:r>
      <w:r w:rsidR="005525DB">
        <w:t xml:space="preserve"> (hierna: de Wet)</w:t>
      </w:r>
      <w:r w:rsidR="00024340">
        <w:t xml:space="preserve"> in werking treedt</w:t>
      </w:r>
      <w:r w:rsidR="00322854">
        <w:t>, waarmee</w:t>
      </w:r>
      <w:r w:rsidRPr="00024340">
        <w:t xml:space="preserve"> niet langer de woonplaats van de gezaghebber van de jeugdige bepalend is bij het vaststellen welke gemeente verantwoordelijk is;</w:t>
      </w:r>
    </w:p>
    <w:p w14:paraId="42F7755A" w14:textId="77777777" w:rsidR="00024340" w:rsidRPr="00024340" w:rsidRDefault="00024340" w:rsidP="008715BB">
      <w:pPr>
        <w:pStyle w:val="Lijstalinea"/>
        <w:numPr>
          <w:ilvl w:val="0"/>
          <w:numId w:val="3"/>
        </w:numPr>
      </w:pPr>
      <w:r w:rsidRPr="00024340">
        <w:t xml:space="preserve">In geval van </w:t>
      </w:r>
      <w:r w:rsidR="008715BB" w:rsidRPr="00024340">
        <w:t xml:space="preserve">ambulante zorgverlening </w:t>
      </w:r>
      <w:r w:rsidRPr="00024340">
        <w:t xml:space="preserve">met ingang van 1 januari 2022 de gemeente waar de jeugdige staat ingeschreven (in het BRP) </w:t>
      </w:r>
      <w:r>
        <w:t>(</w:t>
      </w:r>
      <w:r w:rsidRPr="00024340">
        <w:t>financieel</w:t>
      </w:r>
      <w:r>
        <w:t>)</w:t>
      </w:r>
      <w:r w:rsidRPr="00024340">
        <w:t xml:space="preserve"> verantwoordelijk</w:t>
      </w:r>
      <w:r>
        <w:t xml:space="preserve"> wordt</w:t>
      </w:r>
      <w:r w:rsidRPr="00024340">
        <w:t>;</w:t>
      </w:r>
    </w:p>
    <w:p w14:paraId="2A5DDF1B" w14:textId="77777777" w:rsidR="00024340" w:rsidRDefault="00024340" w:rsidP="008715BB">
      <w:pPr>
        <w:pStyle w:val="Lijstalinea"/>
        <w:numPr>
          <w:ilvl w:val="0"/>
          <w:numId w:val="3"/>
        </w:numPr>
      </w:pPr>
      <w:r w:rsidRPr="00024340">
        <w:t>In</w:t>
      </w:r>
      <w:r>
        <w:t xml:space="preserve"> geval van verblijfszorg met ingang van</w:t>
      </w:r>
      <w:r w:rsidRPr="00024340">
        <w:t xml:space="preserve"> </w:t>
      </w:r>
      <w:r w:rsidR="008715BB" w:rsidRPr="00024340">
        <w:t>1 januari 2022 de</w:t>
      </w:r>
      <w:r w:rsidRPr="00024340">
        <w:t xml:space="preserve"> gemeente waar de jeugdige st</w:t>
      </w:r>
      <w:r w:rsidR="00322854">
        <w:t>aat</w:t>
      </w:r>
      <w:r w:rsidRPr="00024340">
        <w:t xml:space="preserve"> ingeschreven (BRP en andere bronnen) direct voorafgaand aan de start van het zorgtraject </w:t>
      </w:r>
      <w:r>
        <w:t xml:space="preserve">(financieel) </w:t>
      </w:r>
      <w:r w:rsidRPr="00024340">
        <w:t>verantwoordelijk wordt;</w:t>
      </w:r>
    </w:p>
    <w:p w14:paraId="6E44C761" w14:textId="77777777" w:rsidR="001109DF" w:rsidRDefault="00024340" w:rsidP="008715BB">
      <w:pPr>
        <w:pStyle w:val="Lijstalinea"/>
        <w:numPr>
          <w:ilvl w:val="0"/>
          <w:numId w:val="3"/>
        </w:numPr>
      </w:pPr>
      <w:r>
        <w:t>Artikel 10.1 van de Wet overgangsrecht behelst</w:t>
      </w:r>
      <w:r w:rsidR="001109DF">
        <w:t>, luidende:</w:t>
      </w:r>
    </w:p>
    <w:p w14:paraId="5FA1B365" w14:textId="77777777" w:rsidR="001109DF" w:rsidRPr="005A662E" w:rsidRDefault="001109DF" w:rsidP="00410A19">
      <w:pPr>
        <w:pStyle w:val="Lijstalinea"/>
        <w:rPr>
          <w:sz w:val="16"/>
          <w:szCs w:val="16"/>
        </w:rPr>
      </w:pPr>
      <w:r w:rsidRPr="005A662E">
        <w:rPr>
          <w:sz w:val="16"/>
          <w:szCs w:val="16"/>
        </w:rPr>
        <w:t>“</w:t>
      </w:r>
      <w:r w:rsidRPr="005A662E">
        <w:rPr>
          <w:i/>
          <w:iCs/>
          <w:sz w:val="16"/>
          <w:szCs w:val="16"/>
        </w:rPr>
        <w:t xml:space="preserve">1. Indien de woonplaats van een jeugdige is bepaald met toepassing van artikel 1.1. onder &lt;&lt;woonplaats&gt;&gt;, zoals dat luidde voor de inwerkingtreding van de Wet wijziging woonplaatsbeginsel, en deze ten gevolge van de inwerkingtreding van deze wet wijzigt, heeft die jeugdige recht op voortzetting van de voor inwerkingtreding van deze wet aangevangen jeugdhulp met dezelfde voorwaarden en tarieven bij dezelfde jeugdhulpaanbieder tot ten hoogste een jaar na de inwerkingtreding van deze wet, met dien verstande dat het college van de gemeente waar de </w:t>
      </w:r>
      <w:r w:rsidR="00410A19" w:rsidRPr="005A662E">
        <w:rPr>
          <w:i/>
          <w:iCs/>
          <w:sz w:val="16"/>
          <w:szCs w:val="16"/>
        </w:rPr>
        <w:t>jeugdige</w:t>
      </w:r>
      <w:r w:rsidRPr="005A662E">
        <w:rPr>
          <w:i/>
          <w:iCs/>
          <w:sz w:val="16"/>
          <w:szCs w:val="16"/>
        </w:rPr>
        <w:t xml:space="preserve"> zijn woonplaats, bedoeld in artikel 1.1, heeft verantwoordelijk wordt voor die jeugdhulp. </w:t>
      </w:r>
    </w:p>
    <w:p w14:paraId="596C1DE7" w14:textId="77777777" w:rsidR="00410A19" w:rsidRPr="005A662E" w:rsidRDefault="00410A19" w:rsidP="00410A19">
      <w:pPr>
        <w:pStyle w:val="Lijstalinea"/>
        <w:rPr>
          <w:i/>
          <w:iCs/>
          <w:sz w:val="16"/>
          <w:szCs w:val="16"/>
        </w:rPr>
      </w:pPr>
      <w:r w:rsidRPr="005A662E">
        <w:rPr>
          <w:i/>
          <w:iCs/>
          <w:sz w:val="16"/>
          <w:szCs w:val="16"/>
        </w:rPr>
        <w:t xml:space="preserve">2. De periode van een jaar, bedoeld in het eerste lid, is niet van toepassing op pleegzorg. Indien de jeugdhulp pleegzorg betreft, draagt het college dat ingevolge het eerste lid voor de pleegzorg verantwoordelijk wordt ervoor zorg dat de pleegzorg wordt voortgezet bij dezelfde pleegouders, tenzij dat niet tot verantwoorde hulp zou leiden. </w:t>
      </w:r>
    </w:p>
    <w:p w14:paraId="23C41C8F" w14:textId="77777777" w:rsidR="00410A19" w:rsidRPr="005A662E" w:rsidRDefault="00410A19" w:rsidP="00410A19">
      <w:pPr>
        <w:pStyle w:val="Lijstalinea"/>
        <w:rPr>
          <w:i/>
          <w:iCs/>
          <w:sz w:val="16"/>
          <w:szCs w:val="16"/>
        </w:rPr>
      </w:pPr>
      <w:r w:rsidRPr="005A662E">
        <w:rPr>
          <w:i/>
          <w:iCs/>
          <w:sz w:val="16"/>
          <w:szCs w:val="16"/>
        </w:rPr>
        <w:t>3. Het tweede lid is van overeenkomstige toepassing indien het in het eerste lid eerstgenoemde college had ingestemd met het verlenen van pleegzorg die nog niet was aangevangen voor of op de datum van inwerkingtreding van de Wet wijziging woonplaatsbeginsel.</w:t>
      </w:r>
    </w:p>
    <w:p w14:paraId="3588542B" w14:textId="77777777" w:rsidR="00410A19" w:rsidRPr="005A662E" w:rsidRDefault="00410A19" w:rsidP="00410A19">
      <w:pPr>
        <w:pStyle w:val="Lijstalinea"/>
        <w:rPr>
          <w:i/>
          <w:iCs/>
          <w:sz w:val="16"/>
          <w:szCs w:val="16"/>
        </w:rPr>
      </w:pPr>
      <w:r w:rsidRPr="005A662E">
        <w:rPr>
          <w:i/>
          <w:iCs/>
          <w:sz w:val="16"/>
          <w:szCs w:val="16"/>
        </w:rPr>
        <w:t>4. Het college dat ingevolge het eerste lid verantwoordelijk wordt voor de voortzetting van de jeugdhulp draagt er, voor zover dit redelijkerwijs mogelijk is, zorg voor dat de jeugdhulp kan worden voortgezet bij dezelfde jeugdhulpaanbieder.”</w:t>
      </w:r>
    </w:p>
    <w:p w14:paraId="4A11D4A1" w14:textId="77777777" w:rsidR="0018657F" w:rsidRDefault="005525DB" w:rsidP="008715BB">
      <w:pPr>
        <w:pStyle w:val="Lijstalinea"/>
        <w:numPr>
          <w:ilvl w:val="0"/>
          <w:numId w:val="3"/>
        </w:numPr>
      </w:pPr>
      <w:r>
        <w:t>Op grond van de Wet een aantal jeugdigen</w:t>
      </w:r>
      <w:r w:rsidR="00E23833">
        <w:t xml:space="preserve"> </w:t>
      </w:r>
      <w:r w:rsidR="00AD2EFD">
        <w:t xml:space="preserve">waarmee </w:t>
      </w:r>
      <w:r w:rsidR="000E236C">
        <w:t>reeds een</w:t>
      </w:r>
      <w:r w:rsidR="00E23833">
        <w:t xml:space="preserve"> zorgtraject</w:t>
      </w:r>
      <w:r w:rsidR="00AD2EFD">
        <w:t xml:space="preserve"> is aangevangen</w:t>
      </w:r>
      <w:r w:rsidR="00E23833">
        <w:t xml:space="preserve"> via de tot 1 januari 2022 verantwoordelijke gemeente </w:t>
      </w:r>
      <w:r w:rsidR="0018657F">
        <w:t>met ingang van 1 januari 2022 de verantwoordelijkheid van de</w:t>
      </w:r>
      <w:r w:rsidR="00721546">
        <w:t>ze</w:t>
      </w:r>
      <w:r w:rsidR="00AD2EFD">
        <w:t xml:space="preserve"> (nieuwe)</w:t>
      </w:r>
      <w:r w:rsidR="0018657F">
        <w:t xml:space="preserve"> Gemeente wordt;</w:t>
      </w:r>
    </w:p>
    <w:p w14:paraId="29170A9E" w14:textId="77777777" w:rsidR="00EB5A38" w:rsidRDefault="0018657F" w:rsidP="008715BB">
      <w:pPr>
        <w:pStyle w:val="Lijstalinea"/>
        <w:numPr>
          <w:ilvl w:val="0"/>
          <w:numId w:val="3"/>
        </w:numPr>
      </w:pPr>
      <w:r>
        <w:t>De Gemeente op grond van het overgangsrecht gehouden is de reeds gestarte jeugdzorg tot maximaal 1 januari 2023 voort te zetten bij de jeugdhulpaanbieder waar de zorg reeds is gestart</w:t>
      </w:r>
      <w:r w:rsidR="00EB5A38">
        <w:t>;</w:t>
      </w:r>
      <w:r>
        <w:t xml:space="preserve"> </w:t>
      </w:r>
    </w:p>
    <w:p w14:paraId="73FF18FA" w14:textId="77777777" w:rsidR="00322854" w:rsidRPr="00024340" w:rsidRDefault="0018657F" w:rsidP="008715BB">
      <w:pPr>
        <w:pStyle w:val="Lijstalinea"/>
        <w:numPr>
          <w:ilvl w:val="0"/>
          <w:numId w:val="3"/>
        </w:numPr>
      </w:pPr>
      <w:r>
        <w:t xml:space="preserve">De Gemeente in dit kader </w:t>
      </w:r>
      <w:r w:rsidR="00EB5A38">
        <w:t xml:space="preserve">onder de hieronder opgenomen voorwaarden </w:t>
      </w:r>
      <w:r>
        <w:t>een mandaat</w:t>
      </w:r>
      <w:r w:rsidR="00AD2EFD">
        <w:t>, volmacht en machtiging</w:t>
      </w:r>
      <w:r w:rsidR="005D3944">
        <w:t xml:space="preserve"> </w:t>
      </w:r>
      <w:r>
        <w:t>aan de gemeente die tot 1 januari 2022 verantwoordelijk was voor de jeugdige wenst te verlenen om de reeds gestarte zorgverlening voort te blijven zetten</w:t>
      </w:r>
      <w:r w:rsidR="000E236C">
        <w:t xml:space="preserve"> op de wijze en onder de voorwaarden zoals in dit mandaat opgenomen</w:t>
      </w:r>
      <w:r>
        <w:t>.</w:t>
      </w:r>
      <w:r w:rsidR="005525DB">
        <w:t xml:space="preserve"> </w:t>
      </w:r>
    </w:p>
    <w:p w14:paraId="1C6E16E6" w14:textId="77777777" w:rsidR="008715BB" w:rsidRPr="008715BB" w:rsidRDefault="008715BB" w:rsidP="0018657F">
      <w:pPr>
        <w:pStyle w:val="Lijstalinea"/>
        <w:rPr>
          <w:b/>
          <w:bCs/>
        </w:rPr>
      </w:pPr>
    </w:p>
    <w:p w14:paraId="46713492" w14:textId="77777777" w:rsidR="005A662E" w:rsidRDefault="005A662E" w:rsidP="00867419">
      <w:pPr>
        <w:rPr>
          <w:b/>
          <w:bCs/>
        </w:rPr>
      </w:pPr>
    </w:p>
    <w:p w14:paraId="7FFA95A9" w14:textId="77777777" w:rsidR="00EA64C3" w:rsidRDefault="00EA64C3" w:rsidP="00867419">
      <w:pPr>
        <w:rPr>
          <w:b/>
          <w:bCs/>
        </w:rPr>
      </w:pPr>
      <w:r>
        <w:rPr>
          <w:b/>
          <w:bCs/>
        </w:rPr>
        <w:lastRenderedPageBreak/>
        <w:t>BESLUIT</w:t>
      </w:r>
    </w:p>
    <w:p w14:paraId="4B4C5F51" w14:textId="77777777" w:rsidR="00EA64C3" w:rsidRDefault="00EA64C3" w:rsidP="00867419">
      <w:pPr>
        <w:rPr>
          <w:b/>
          <w:bCs/>
        </w:rPr>
      </w:pPr>
    </w:p>
    <w:p w14:paraId="4BF1880F" w14:textId="77777777" w:rsidR="00EA64C3" w:rsidRDefault="00EA64C3" w:rsidP="00867419">
      <w:r>
        <w:t xml:space="preserve">Vast te stellen het navolgende </w:t>
      </w:r>
      <w:r w:rsidR="00AD2EFD">
        <w:t>m</w:t>
      </w:r>
      <w:r>
        <w:t>andaat, machtiging en volmacht:</w:t>
      </w:r>
    </w:p>
    <w:p w14:paraId="0BFD74EE" w14:textId="77777777" w:rsidR="00EA64C3" w:rsidRPr="00EA64C3" w:rsidRDefault="00EA64C3" w:rsidP="00867419"/>
    <w:p w14:paraId="157B7AE5" w14:textId="77777777" w:rsidR="00EA64C3" w:rsidRDefault="00EA64C3" w:rsidP="00867419">
      <w:pPr>
        <w:rPr>
          <w:u w:val="single"/>
        </w:rPr>
      </w:pPr>
      <w:r w:rsidRPr="00EA64C3">
        <w:rPr>
          <w:u w:val="single"/>
        </w:rPr>
        <w:t>Artikel 1</w:t>
      </w:r>
      <w:r>
        <w:rPr>
          <w:u w:val="single"/>
        </w:rPr>
        <w:t>: Mandaat, machtiging en volmacht</w:t>
      </w:r>
    </w:p>
    <w:p w14:paraId="3D267204" w14:textId="77777777" w:rsidR="00A77731" w:rsidRDefault="00EA64C3" w:rsidP="00734FF0">
      <w:pPr>
        <w:pStyle w:val="Lijstalinea"/>
        <w:numPr>
          <w:ilvl w:val="0"/>
          <w:numId w:val="1"/>
        </w:numPr>
      </w:pPr>
      <w:r>
        <w:t>Aan het college van burgemeester en wethouders en de burgemeester van gemeent</w:t>
      </w:r>
      <w:r w:rsidR="00376EA6">
        <w:t xml:space="preserve">e </w:t>
      </w:r>
      <w:r w:rsidR="00EB5A38" w:rsidRPr="00EB5A38">
        <w:rPr>
          <w:highlight w:val="yellow"/>
        </w:rPr>
        <w:t>invoegen gegevens mandaatnemer</w:t>
      </w:r>
      <w:r w:rsidR="0018657F">
        <w:rPr>
          <w:rStyle w:val="Voetnootmarkering"/>
          <w:highlight w:val="yellow"/>
        </w:rPr>
        <w:footnoteReference w:id="3"/>
      </w:r>
      <w:r w:rsidR="00636838">
        <w:t xml:space="preserve"> (hierna</w:t>
      </w:r>
      <w:r w:rsidR="00AD2EFD">
        <w:t>:</w:t>
      </w:r>
      <w:r w:rsidR="00636838">
        <w:t xml:space="preserve"> Mandaatnemer)</w:t>
      </w:r>
      <w:r w:rsidR="00376EA6">
        <w:t xml:space="preserve"> wordt mandaat verleend tot het namens en onder verantwoordelijkheid van het college van burgemeester en wethouders dan wel de burgemeester</w:t>
      </w:r>
      <w:r w:rsidR="00EB5A38">
        <w:t xml:space="preserve"> van de Gemeente</w:t>
      </w:r>
      <w:r w:rsidR="00376EA6">
        <w:t xml:space="preserve"> </w:t>
      </w:r>
      <w:r w:rsidR="00AD2EFD" w:rsidRPr="0005697C">
        <w:rPr>
          <w:highlight w:val="yellow"/>
        </w:rPr>
        <w:t>[</w:t>
      </w:r>
      <w:r w:rsidR="00B80BEE">
        <w:rPr>
          <w:highlight w:val="yellow"/>
        </w:rPr>
        <w:t xml:space="preserve">Invoegen naam </w:t>
      </w:r>
      <w:r w:rsidR="00A660F9">
        <w:rPr>
          <w:highlight w:val="yellow"/>
        </w:rPr>
        <w:t xml:space="preserve">mandaatgevende </w:t>
      </w:r>
      <w:r w:rsidR="00B80BEE">
        <w:rPr>
          <w:highlight w:val="yellow"/>
        </w:rPr>
        <w:t>Gemeente</w:t>
      </w:r>
      <w:r w:rsidR="00AD2EFD" w:rsidRPr="0005697C">
        <w:rPr>
          <w:highlight w:val="yellow"/>
        </w:rPr>
        <w:t>]</w:t>
      </w:r>
      <w:r w:rsidR="00AD2EFD">
        <w:t xml:space="preserve"> </w:t>
      </w:r>
      <w:r w:rsidR="00376EA6">
        <w:t>nemen van besluiten</w:t>
      </w:r>
      <w:r w:rsidR="00E23833">
        <w:t xml:space="preserve"> en</w:t>
      </w:r>
      <w:r w:rsidR="00376EA6">
        <w:t xml:space="preserve"> het ondertekenen </w:t>
      </w:r>
      <w:r w:rsidR="00E23833">
        <w:t>v</w:t>
      </w:r>
      <w:r w:rsidR="00376EA6">
        <w:t>an die besluiten ter uitoefening van de bevoegdheden zoals vermeld in</w:t>
      </w:r>
      <w:r w:rsidR="00636838">
        <w:t xml:space="preserve"> artikel </w:t>
      </w:r>
      <w:r w:rsidR="00B80BEE">
        <w:t>3</w:t>
      </w:r>
      <w:r w:rsidR="00636838">
        <w:t xml:space="preserve"> van </w:t>
      </w:r>
      <w:r w:rsidR="00376EA6">
        <w:t>dit besluit</w:t>
      </w:r>
      <w:r w:rsidR="004F6DCF">
        <w:t>.</w:t>
      </w:r>
      <w:r w:rsidR="00EB5A38">
        <w:t xml:space="preserve"> </w:t>
      </w:r>
    </w:p>
    <w:p w14:paraId="06F0E098" w14:textId="77777777" w:rsidR="00EB5A38" w:rsidRDefault="00EB5A38" w:rsidP="00734FF0">
      <w:pPr>
        <w:pStyle w:val="Lijstalinea"/>
        <w:numPr>
          <w:ilvl w:val="0"/>
          <w:numId w:val="1"/>
        </w:numPr>
      </w:pPr>
      <w:r>
        <w:t>Waar in dit besluit wordt gesproken over mandaat, dient, tenzij anders is bepaald, daaronder tevens te worden begrepen machtiging en volmacht.</w:t>
      </w:r>
    </w:p>
    <w:p w14:paraId="61E4D23A" w14:textId="77777777" w:rsidR="00EB5A38" w:rsidRDefault="00EB5A38" w:rsidP="00734FF0">
      <w:pPr>
        <w:pStyle w:val="Lijstalinea"/>
        <w:numPr>
          <w:ilvl w:val="0"/>
          <w:numId w:val="1"/>
        </w:numPr>
      </w:pPr>
      <w:r>
        <w:t>Voor zover van toepassing omvat de bevoegdheid om krachtens mandaat besluiten te nemen tevens de bevoegdheid tot het stellen van voorschriften en beperkingen en het verrichten van voorbereidings- en uitvoeringshandelingen.</w:t>
      </w:r>
    </w:p>
    <w:p w14:paraId="2261DEF4" w14:textId="77777777" w:rsidR="001818CC" w:rsidRDefault="001818CC" w:rsidP="001818CC"/>
    <w:p w14:paraId="1FB2EEFD" w14:textId="77777777" w:rsidR="004F6DCF" w:rsidRDefault="004F6DCF" w:rsidP="001818CC"/>
    <w:p w14:paraId="2E872A2A" w14:textId="77777777" w:rsidR="00A066D6" w:rsidRDefault="001818CC" w:rsidP="001818CC">
      <w:pPr>
        <w:rPr>
          <w:u w:val="single"/>
        </w:rPr>
      </w:pPr>
      <w:r>
        <w:rPr>
          <w:u w:val="single"/>
        </w:rPr>
        <w:t>Artikel</w:t>
      </w:r>
      <w:r w:rsidR="004F6DCF">
        <w:rPr>
          <w:u w:val="single"/>
        </w:rPr>
        <w:t xml:space="preserve"> 2</w:t>
      </w:r>
      <w:r>
        <w:rPr>
          <w:u w:val="single"/>
        </w:rPr>
        <w:t>: Ondermandaat</w:t>
      </w:r>
      <w:r w:rsidR="004F6DCF">
        <w:rPr>
          <w:rStyle w:val="Voetnootmarkering"/>
          <w:u w:val="single"/>
        </w:rPr>
        <w:footnoteReference w:id="4"/>
      </w:r>
    </w:p>
    <w:p w14:paraId="12696753" w14:textId="77777777" w:rsidR="00731C8B" w:rsidRDefault="00731C8B" w:rsidP="00731C8B">
      <w:pPr>
        <w:pStyle w:val="Lijstalinea"/>
        <w:numPr>
          <w:ilvl w:val="0"/>
          <w:numId w:val="13"/>
        </w:numPr>
      </w:pPr>
      <w:r w:rsidRPr="00A066D6">
        <w:rPr>
          <w:highlight w:val="yellow"/>
        </w:rPr>
        <w:t xml:space="preserve">Optie </w:t>
      </w:r>
      <w:r>
        <w:rPr>
          <w:highlight w:val="yellow"/>
        </w:rPr>
        <w:t>1</w:t>
      </w:r>
      <w:r w:rsidRPr="00A066D6">
        <w:rPr>
          <w:highlight w:val="yellow"/>
        </w:rPr>
        <w:t>:</w:t>
      </w:r>
      <w:r>
        <w:t xml:space="preserve"> De mandaatnemer is uitsluitend bevoegd intern (binnen de eigen gemeentelijke organisatie) ondermandaat te verlenen. Hierbij is de (interne) mandaatregeling, dan wel zijn de (interne) mandaatbesluiten, dan wel de bestaande bevoegdheidsverdelingen van de mandaatnemer </w:t>
      </w:r>
      <w:r w:rsidRPr="00B37AD9">
        <w:t>die van kracht waren op 1 januari 2022</w:t>
      </w:r>
      <w:r>
        <w:t>,</w:t>
      </w:r>
      <w:r w:rsidRPr="00B37AD9">
        <w:t xml:space="preserve"> </w:t>
      </w:r>
      <w:r>
        <w:t>onverkort van toepassing. De ondermandaatnemer kan de hem toegekende bevoegdheden niet door mandateren.</w:t>
      </w:r>
    </w:p>
    <w:p w14:paraId="70AD9B5D" w14:textId="77777777" w:rsidR="00731C8B" w:rsidRDefault="00731C8B" w:rsidP="00731C8B">
      <w:pPr>
        <w:pStyle w:val="Lijstalinea"/>
      </w:pPr>
    </w:p>
    <w:p w14:paraId="4F2E322D" w14:textId="77777777" w:rsidR="00731C8B" w:rsidRDefault="00731C8B" w:rsidP="00731C8B">
      <w:pPr>
        <w:pStyle w:val="Lijstalinea"/>
      </w:pPr>
      <w:r w:rsidRPr="004F6DCF">
        <w:rPr>
          <w:highlight w:val="yellow"/>
        </w:rPr>
        <w:t>OF</w:t>
      </w:r>
      <w:r>
        <w:t xml:space="preserve"> </w:t>
      </w:r>
    </w:p>
    <w:p w14:paraId="3A47B7B3" w14:textId="77777777" w:rsidR="00731C8B" w:rsidRDefault="00731C8B" w:rsidP="00731C8B">
      <w:pPr>
        <w:pStyle w:val="Lijstalinea"/>
      </w:pPr>
    </w:p>
    <w:p w14:paraId="6C5F0F36" w14:textId="77777777" w:rsidR="00731C8B" w:rsidRDefault="00731C8B" w:rsidP="00A660F9">
      <w:pPr>
        <w:pStyle w:val="Lijstalinea"/>
      </w:pPr>
      <w:r w:rsidRPr="00A066D6">
        <w:rPr>
          <w:highlight w:val="yellow"/>
        </w:rPr>
        <w:t xml:space="preserve">Optie </w:t>
      </w:r>
      <w:r>
        <w:rPr>
          <w:highlight w:val="yellow"/>
        </w:rPr>
        <w:t>2</w:t>
      </w:r>
      <w:r w:rsidRPr="00A066D6">
        <w:rPr>
          <w:highlight w:val="yellow"/>
        </w:rPr>
        <w:t>:</w:t>
      </w:r>
      <w:r>
        <w:t xml:space="preserve"> De mandaatnemer is bevoegd ondermandaat te verlenen aan een organisatie – anders dan de eigen gemeentelijke organisatie – indien en voorzover die organisatie reeds bevoegd is tot besluitvorming danwel uitvoering van de Jeugdwet. Daarbij moet aansluiting worden gezocht bij de op 1 januari 2022 bestaande besluiten omtrent delegatie, mandatering danwel anderszins overdracht van bevoegdheden (bijvoorbeeld volmacht) in het kader van de Jeugdwet. Indien de mandaatnemer wenst over te gaan tot het verlenen van ondermandaat als bedoeld in dit artikellid </w:t>
      </w:r>
      <w:r w:rsidRPr="001162D1">
        <w:t>dient hij daaraan voorafgaand de mandaatgever hierover te informeren.</w:t>
      </w:r>
      <w:r>
        <w:t xml:space="preserve"> De ondermandaatnemer kan de hem toegekende bevoegdheden niet door mandateren.</w:t>
      </w:r>
    </w:p>
    <w:p w14:paraId="15D78BDF" w14:textId="77777777" w:rsidR="001818CC" w:rsidRDefault="001818CC" w:rsidP="001818CC">
      <w:pPr>
        <w:pStyle w:val="Lijstalinea"/>
      </w:pPr>
    </w:p>
    <w:p w14:paraId="091DAA3B" w14:textId="77777777" w:rsidR="006F6FFB" w:rsidRDefault="006F6FFB" w:rsidP="006F6FFB">
      <w:pPr>
        <w:pStyle w:val="Lijstalinea"/>
        <w:numPr>
          <w:ilvl w:val="0"/>
          <w:numId w:val="13"/>
        </w:numPr>
      </w:pPr>
      <w:r>
        <w:t>De mandaatnemer is niet bevoegd op andere wijze dan in dit mandaatbesluit voorzien de verkregen bevoegdheid over te dragen.</w:t>
      </w:r>
    </w:p>
    <w:p w14:paraId="52184019" w14:textId="77777777" w:rsidR="00EB5A38" w:rsidRDefault="00EB5A38" w:rsidP="00636838"/>
    <w:p w14:paraId="075FCE6F" w14:textId="77777777" w:rsidR="00636838" w:rsidRDefault="00636838" w:rsidP="00636838">
      <w:pPr>
        <w:rPr>
          <w:u w:val="single"/>
        </w:rPr>
      </w:pPr>
      <w:r>
        <w:rPr>
          <w:u w:val="single"/>
        </w:rPr>
        <w:t xml:space="preserve">Artikel </w:t>
      </w:r>
      <w:r w:rsidR="004F6DCF">
        <w:rPr>
          <w:u w:val="single"/>
        </w:rPr>
        <w:t>3</w:t>
      </w:r>
      <w:r>
        <w:rPr>
          <w:u w:val="single"/>
        </w:rPr>
        <w:t>: Reikwijdte mandaat</w:t>
      </w:r>
    </w:p>
    <w:p w14:paraId="017F3984" w14:textId="77777777" w:rsidR="00A679C0" w:rsidRDefault="00764236" w:rsidP="00E538F5">
      <w:pPr>
        <w:pStyle w:val="Lijstalinea"/>
        <w:numPr>
          <w:ilvl w:val="0"/>
          <w:numId w:val="7"/>
        </w:numPr>
      </w:pPr>
      <w:r>
        <w:t>Op grond van de Wet word</w:t>
      </w:r>
      <w:r w:rsidR="00A679C0">
        <w:t xml:space="preserve">t de </w:t>
      </w:r>
      <w:r w:rsidR="00A660F9">
        <w:t>G</w:t>
      </w:r>
      <w:r w:rsidR="00A679C0">
        <w:t>emeente per 1 januari 2022 verantwoordelijk voor</w:t>
      </w:r>
      <w:r>
        <w:t xml:space="preserve"> een aantal </w:t>
      </w:r>
      <w:r w:rsidR="00A660F9">
        <w:t>j</w:t>
      </w:r>
      <w:r>
        <w:t>eugdigen</w:t>
      </w:r>
      <w:r w:rsidR="00A679C0">
        <w:t xml:space="preserve">, </w:t>
      </w:r>
      <w:r>
        <w:t xml:space="preserve">die </w:t>
      </w:r>
      <w:r w:rsidR="00A679C0">
        <w:t>tot 1 januari 2022 onder de verantwoordelijkheid van de mandaatneme</w:t>
      </w:r>
      <w:r w:rsidR="00A660F9">
        <w:t>r</w:t>
      </w:r>
      <w:r w:rsidR="00A679C0">
        <w:t xml:space="preserve"> v</w:t>
      </w:r>
      <w:r w:rsidR="00A660F9">
        <w:t>ie</w:t>
      </w:r>
      <w:r w:rsidR="00A679C0">
        <w:t xml:space="preserve">len. De Gemeente zal mandaatnemer </w:t>
      </w:r>
      <w:r w:rsidR="00AB5796">
        <w:t xml:space="preserve">uiterlijk </w:t>
      </w:r>
      <w:r w:rsidR="00D47A37" w:rsidRPr="00D47A37">
        <w:rPr>
          <w:highlight w:val="yellow"/>
        </w:rPr>
        <w:t>invoegen datum 2021</w:t>
      </w:r>
      <w:r w:rsidR="00AB5796">
        <w:t xml:space="preserve"> </w:t>
      </w:r>
      <w:r w:rsidR="00A679C0">
        <w:t>een overzicht verstrekken welke jeugdigen dit betreft</w:t>
      </w:r>
      <w:r w:rsidR="00A660F9">
        <w:t xml:space="preserve"> (hierna: Jeugdigen)</w:t>
      </w:r>
      <w:r w:rsidR="00A679C0">
        <w:t>.</w:t>
      </w:r>
      <w:r w:rsidR="004F6DCF">
        <w:rPr>
          <w:rStyle w:val="Voetnootmarkering"/>
        </w:rPr>
        <w:footnoteReference w:id="5"/>
      </w:r>
      <w:r w:rsidR="00A679C0">
        <w:t xml:space="preserve"> </w:t>
      </w:r>
    </w:p>
    <w:p w14:paraId="08CE317B" w14:textId="77777777" w:rsidR="008421E6" w:rsidRDefault="00636838" w:rsidP="00A660F9">
      <w:pPr>
        <w:pStyle w:val="Lijstalinea"/>
        <w:numPr>
          <w:ilvl w:val="0"/>
          <w:numId w:val="7"/>
        </w:numPr>
      </w:pPr>
      <w:r>
        <w:t xml:space="preserve">Mandaatnemer </w:t>
      </w:r>
      <w:r w:rsidR="00E23833">
        <w:t>is op grond van dit mandaat</w:t>
      </w:r>
      <w:r w:rsidR="00B37AD9">
        <w:t>besluit</w:t>
      </w:r>
      <w:r w:rsidR="00E23833">
        <w:t xml:space="preserve"> </w:t>
      </w:r>
      <w:r w:rsidR="00721546">
        <w:t xml:space="preserve">bevoegd en gehouden </w:t>
      </w:r>
      <w:r w:rsidR="00B37AD9">
        <w:t>alle benodigde (rechts)handelingen te verrichten teneinde er</w:t>
      </w:r>
      <w:r w:rsidR="00721546">
        <w:t>voor zorg te dragen dat reeds aangevangen jeugdhulp</w:t>
      </w:r>
      <w:r w:rsidR="00A679C0">
        <w:t xml:space="preserve"> aan de onder lid 1 van dit artikel gespecificeerde </w:t>
      </w:r>
      <w:r w:rsidR="008A5706">
        <w:t>J</w:t>
      </w:r>
      <w:r w:rsidR="00A679C0">
        <w:t>eugdigen</w:t>
      </w:r>
      <w:r w:rsidR="00A660F9">
        <w:t xml:space="preserve"> -</w:t>
      </w:r>
      <w:r w:rsidR="00721546">
        <w:t xml:space="preserve"> </w:t>
      </w:r>
      <w:r w:rsidR="00AB5796">
        <w:t xml:space="preserve">bij de jeugdhulpaanbieder waar de </w:t>
      </w:r>
      <w:r w:rsidR="00A660F9">
        <w:t>j</w:t>
      </w:r>
      <w:r w:rsidR="00AB5796">
        <w:t>eugdige op dat moment in zorg is</w:t>
      </w:r>
      <w:r w:rsidR="00A660F9">
        <w:t xml:space="preserve">- </w:t>
      </w:r>
      <w:r w:rsidR="003C2EAC">
        <w:t>wordt voortgezet</w:t>
      </w:r>
      <w:r w:rsidR="00A660F9">
        <w:t>. Voornoemde voortzettingsverplichting geldt</w:t>
      </w:r>
      <w:r w:rsidR="00AB5796">
        <w:t xml:space="preserve"> </w:t>
      </w:r>
      <w:r w:rsidR="008A5706">
        <w:t xml:space="preserve">voor de producten/diensten en </w:t>
      </w:r>
      <w:r w:rsidR="00721546">
        <w:t xml:space="preserve">onder de </w:t>
      </w:r>
      <w:r w:rsidR="00721546">
        <w:lastRenderedPageBreak/>
        <w:t xml:space="preserve">tarieven en voorwaarden zoals </w:t>
      </w:r>
      <w:r w:rsidR="00721546" w:rsidRPr="000536FF">
        <w:t>deze op 1 januari 2022</w:t>
      </w:r>
      <w:r w:rsidR="00721546">
        <w:t xml:space="preserve"> met jeugdhulpaanbieder zijn overeengekomen</w:t>
      </w:r>
      <w:r w:rsidR="008A5706">
        <w:t xml:space="preserve"> voor die </w:t>
      </w:r>
      <w:r w:rsidR="00A660F9">
        <w:t>j</w:t>
      </w:r>
      <w:r w:rsidR="008A5706">
        <w:t>eugdige</w:t>
      </w:r>
      <w:r w:rsidR="001109DF">
        <w:t>,</w:t>
      </w:r>
      <w:r w:rsidR="00721546">
        <w:t xml:space="preserve"> </w:t>
      </w:r>
      <w:r w:rsidR="008421E6">
        <w:t xml:space="preserve">gedurende de periode waarvoor </w:t>
      </w:r>
      <w:r w:rsidR="00A660F9">
        <w:t xml:space="preserve">mandaatnemer </w:t>
      </w:r>
      <w:r w:rsidR="008421E6">
        <w:t>die jeugdhulp had toegekend of ermee had ingestemd, tot ten hoogste een jaar</w:t>
      </w:r>
      <w:r w:rsidR="001109DF">
        <w:t xml:space="preserve"> na inwerkingtreding van de Wet, te weten 1 januari 2023</w:t>
      </w:r>
      <w:r w:rsidR="008421E6">
        <w:t xml:space="preserve">. </w:t>
      </w:r>
    </w:p>
    <w:p w14:paraId="694CFBD2" w14:textId="77777777" w:rsidR="008A5706" w:rsidRDefault="008A5706" w:rsidP="00F223B3">
      <w:pPr>
        <w:pStyle w:val="Lijstalinea"/>
        <w:numPr>
          <w:ilvl w:val="0"/>
          <w:numId w:val="7"/>
        </w:numPr>
      </w:pPr>
      <w:r>
        <w:t>Het is de mandaatnemer niet toegestaan om zonder voorafgaande schriftelijke toestemming van de Gemeente</w:t>
      </w:r>
      <w:r w:rsidR="001162D1">
        <w:t xml:space="preserve"> </w:t>
      </w:r>
      <w:r>
        <w:t>wijzigingen door te voeren ten aanzien van de producten/diensten, tarieven danwel voorwaarden waaronder jeugdhulp wordt verleend aan de Jeugdige</w:t>
      </w:r>
      <w:r w:rsidR="00A660F9">
        <w:t>n</w:t>
      </w:r>
      <w:r>
        <w:t>.</w:t>
      </w:r>
      <w:r w:rsidR="00967408">
        <w:rPr>
          <w:rStyle w:val="Voetnootmarkering"/>
        </w:rPr>
        <w:footnoteReference w:id="6"/>
      </w:r>
      <w:r>
        <w:t xml:space="preserve"> </w:t>
      </w:r>
    </w:p>
    <w:p w14:paraId="49659F36" w14:textId="77777777" w:rsidR="00482B55" w:rsidRDefault="00482B55" w:rsidP="008421E6">
      <w:pPr>
        <w:pStyle w:val="Lijstalinea"/>
        <w:numPr>
          <w:ilvl w:val="0"/>
          <w:numId w:val="7"/>
        </w:numPr>
      </w:pPr>
      <w:r>
        <w:t xml:space="preserve">Het is mandaatnemer uitdrukkelijk niet toegelaten andere besluiten te nemen dan die waarvoor het mandaat is verleend, c.q. over andere jeugdigen te beslissen dan over die </w:t>
      </w:r>
      <w:r w:rsidR="004F6DCF">
        <w:t>J</w:t>
      </w:r>
      <w:r>
        <w:t xml:space="preserve">eugdigen waarvoor een veranderde situatie optreedt als gevolg van het wijzigen van de Wet. </w:t>
      </w:r>
    </w:p>
    <w:p w14:paraId="5A99BCC6" w14:textId="77777777" w:rsidR="008421E6" w:rsidRDefault="00A679C0" w:rsidP="00636838">
      <w:pPr>
        <w:pStyle w:val="Lijstalinea"/>
        <w:numPr>
          <w:ilvl w:val="0"/>
          <w:numId w:val="7"/>
        </w:numPr>
      </w:pPr>
      <w:r>
        <w:t>De Gemeente is gehouden de kosten voor de in lid</w:t>
      </w:r>
      <w:r w:rsidR="008421E6">
        <w:t xml:space="preserve"> 1 en</w:t>
      </w:r>
      <w:r>
        <w:t xml:space="preserve"> 2</w:t>
      </w:r>
      <w:r w:rsidR="008421E6">
        <w:t xml:space="preserve"> van dit artikel</w:t>
      </w:r>
      <w:r>
        <w:t xml:space="preserve"> gespecificeerde jeugdhulp te vergoeden aan de mandaatnem</w:t>
      </w:r>
      <w:r w:rsidR="003C2EAC">
        <w:t>er</w:t>
      </w:r>
      <w:r w:rsidR="008421E6">
        <w:t>.</w:t>
      </w:r>
    </w:p>
    <w:p w14:paraId="56EBCFD2" w14:textId="77777777" w:rsidR="00A679C0" w:rsidRPr="00DE618D" w:rsidRDefault="008421E6" w:rsidP="00636838">
      <w:pPr>
        <w:pStyle w:val="Lijstalinea"/>
        <w:numPr>
          <w:ilvl w:val="0"/>
          <w:numId w:val="7"/>
        </w:numPr>
        <w:rPr>
          <w:highlight w:val="yellow"/>
        </w:rPr>
      </w:pPr>
      <w:r w:rsidRPr="00DE618D">
        <w:rPr>
          <w:highlight w:val="yellow"/>
        </w:rPr>
        <w:t>Invoegen afspraken over declaratie &amp; betaling</w:t>
      </w:r>
      <w:r w:rsidR="00133DC1">
        <w:rPr>
          <w:highlight w:val="yellow"/>
        </w:rPr>
        <w:t>.</w:t>
      </w:r>
      <w:r w:rsidR="00A679C0" w:rsidRPr="00DE618D">
        <w:rPr>
          <w:highlight w:val="yellow"/>
        </w:rPr>
        <w:t xml:space="preserve"> </w:t>
      </w:r>
    </w:p>
    <w:p w14:paraId="2F90879A" w14:textId="77777777" w:rsidR="00A679C0" w:rsidRDefault="00A679C0" w:rsidP="00E23833"/>
    <w:p w14:paraId="56AEF064" w14:textId="77777777" w:rsidR="00B94A86" w:rsidRDefault="00B94A86" w:rsidP="00914D01">
      <w:pPr>
        <w:rPr>
          <w:u w:val="single"/>
        </w:rPr>
      </w:pPr>
    </w:p>
    <w:p w14:paraId="1049172E" w14:textId="77777777" w:rsidR="00914D01" w:rsidRPr="00914D01" w:rsidRDefault="00914D01" w:rsidP="00914D01">
      <w:r>
        <w:rPr>
          <w:u w:val="single"/>
        </w:rPr>
        <w:t xml:space="preserve">Artikel </w:t>
      </w:r>
      <w:r w:rsidR="008421E6">
        <w:rPr>
          <w:u w:val="single"/>
        </w:rPr>
        <w:t>4</w:t>
      </w:r>
      <w:r>
        <w:rPr>
          <w:u w:val="single"/>
        </w:rPr>
        <w:t>: Ondertekeningsbevoegdheid</w:t>
      </w:r>
    </w:p>
    <w:p w14:paraId="5F0AF3EF" w14:textId="77777777" w:rsidR="00914D01" w:rsidRPr="00914D01" w:rsidRDefault="00914D01" w:rsidP="00914D01">
      <w:r w:rsidRPr="00914D01">
        <w:t>Het mandaat</w:t>
      </w:r>
      <w:r>
        <w:t xml:space="preserve"> omvat de bevoegdheid tot ondertekening van de </w:t>
      </w:r>
      <w:r w:rsidR="00636838">
        <w:t xml:space="preserve">gelet op de in artikel </w:t>
      </w:r>
      <w:r w:rsidR="00D47A37">
        <w:t>3</w:t>
      </w:r>
      <w:r w:rsidR="00636838">
        <w:t xml:space="preserve"> genoemde taken noodzakelijke </w:t>
      </w:r>
      <w:r>
        <w:t>besluiten namens het college van burgemeester en wethouders</w:t>
      </w:r>
      <w:r w:rsidR="00DF301E">
        <w:t xml:space="preserve"> van de Gemeente</w:t>
      </w:r>
      <w:r>
        <w:t xml:space="preserve"> dan wel de burgemeester </w:t>
      </w:r>
      <w:r w:rsidR="00DF301E">
        <w:t>van de Gemeente</w:t>
      </w:r>
      <w:r w:rsidR="00B37AD9">
        <w:t>.</w:t>
      </w:r>
      <w:r w:rsidR="00DF301E">
        <w:t xml:space="preserve"> </w:t>
      </w:r>
    </w:p>
    <w:p w14:paraId="423D08D1" w14:textId="77777777" w:rsidR="00914D01" w:rsidRPr="00914D01" w:rsidRDefault="00914D01" w:rsidP="00914D01"/>
    <w:p w14:paraId="3A881078" w14:textId="77777777" w:rsidR="008421E6" w:rsidRDefault="00914D01" w:rsidP="008421E6">
      <w:pPr>
        <w:rPr>
          <w:u w:val="single"/>
        </w:rPr>
      </w:pPr>
      <w:r w:rsidRPr="00914D01">
        <w:rPr>
          <w:u w:val="single"/>
        </w:rPr>
        <w:t xml:space="preserve">Artikel </w:t>
      </w:r>
      <w:r w:rsidR="008421E6">
        <w:rPr>
          <w:u w:val="single"/>
        </w:rPr>
        <w:t>5</w:t>
      </w:r>
      <w:r w:rsidRPr="00914D01">
        <w:rPr>
          <w:u w:val="single"/>
        </w:rPr>
        <w:t>:</w:t>
      </w:r>
      <w:r>
        <w:rPr>
          <w:u w:val="single"/>
        </w:rPr>
        <w:t xml:space="preserve"> </w:t>
      </w:r>
      <w:r w:rsidR="00721546">
        <w:rPr>
          <w:u w:val="single"/>
        </w:rPr>
        <w:t>Geldigheidsduur</w:t>
      </w:r>
      <w:bookmarkStart w:id="0" w:name="id1-3-2-2-4-2"/>
      <w:bookmarkEnd w:id="0"/>
    </w:p>
    <w:p w14:paraId="10EC9D92" w14:textId="77777777" w:rsidR="00DF301E" w:rsidRDefault="00721546" w:rsidP="008421E6">
      <w:pPr>
        <w:rPr>
          <w:szCs w:val="18"/>
        </w:rPr>
      </w:pPr>
      <w:r w:rsidRPr="00721546">
        <w:rPr>
          <w:szCs w:val="18"/>
        </w:rPr>
        <w:t xml:space="preserve">Dit mandaatbesluit eindigt </w:t>
      </w:r>
      <w:r w:rsidR="00B37AD9">
        <w:rPr>
          <w:szCs w:val="18"/>
        </w:rPr>
        <w:t xml:space="preserve">van rechtswege </w:t>
      </w:r>
      <w:r w:rsidR="008421E6">
        <w:rPr>
          <w:szCs w:val="18"/>
        </w:rPr>
        <w:t xml:space="preserve">op het moment dat de zorgverlening aan de jeugdige op grond van artikel </w:t>
      </w:r>
      <w:r w:rsidR="00D47A37">
        <w:rPr>
          <w:szCs w:val="18"/>
        </w:rPr>
        <w:t>3</w:t>
      </w:r>
      <w:r w:rsidR="008421E6">
        <w:rPr>
          <w:szCs w:val="18"/>
        </w:rPr>
        <w:t xml:space="preserve"> van dit besluit</w:t>
      </w:r>
      <w:r w:rsidR="00DF301E">
        <w:rPr>
          <w:szCs w:val="18"/>
        </w:rPr>
        <w:t xml:space="preserve"> eindigt, doch uiterlijk op 1 januari 2023. De </w:t>
      </w:r>
      <w:r w:rsidR="00B37AD9">
        <w:rPr>
          <w:szCs w:val="18"/>
        </w:rPr>
        <w:t xml:space="preserve">vastgestelde </w:t>
      </w:r>
      <w:r w:rsidR="00DF301E">
        <w:rPr>
          <w:szCs w:val="18"/>
        </w:rPr>
        <w:t xml:space="preserve">geldigheidsduur laat </w:t>
      </w:r>
      <w:r w:rsidR="00B37AD9">
        <w:rPr>
          <w:szCs w:val="18"/>
        </w:rPr>
        <w:t>onverlet</w:t>
      </w:r>
      <w:r w:rsidR="00DF301E">
        <w:rPr>
          <w:szCs w:val="18"/>
        </w:rPr>
        <w:t xml:space="preserve"> de mogelijkheid van de Gemeente om het mandaat te allen tijde in te trekken conform artikel 10:8 Awb. </w:t>
      </w:r>
    </w:p>
    <w:p w14:paraId="60659293" w14:textId="77777777" w:rsidR="00DF301E" w:rsidRDefault="00DF301E" w:rsidP="008421E6">
      <w:pPr>
        <w:rPr>
          <w:szCs w:val="18"/>
        </w:rPr>
      </w:pPr>
    </w:p>
    <w:p w14:paraId="33B4F582" w14:textId="77777777" w:rsidR="00721546" w:rsidRPr="00721546" w:rsidRDefault="00DF301E" w:rsidP="008421E6">
      <w:pPr>
        <w:rPr>
          <w:szCs w:val="18"/>
        </w:rPr>
      </w:pPr>
      <w:r>
        <w:rPr>
          <w:szCs w:val="18"/>
          <w:u w:val="single"/>
        </w:rPr>
        <w:t>Artikel 6: Eerdere besluiten en inwerkingtreding</w:t>
      </w:r>
      <w:r w:rsidR="00764236">
        <w:rPr>
          <w:szCs w:val="18"/>
        </w:rPr>
        <w:t xml:space="preserve"> </w:t>
      </w:r>
    </w:p>
    <w:p w14:paraId="403B497A" w14:textId="77777777" w:rsidR="00B94A86" w:rsidRDefault="00DF301E" w:rsidP="00DF301E">
      <w:pPr>
        <w:pStyle w:val="Lijstalinea"/>
        <w:numPr>
          <w:ilvl w:val="0"/>
          <w:numId w:val="11"/>
        </w:numPr>
      </w:pPr>
      <w:r>
        <w:t>Eventuele eerdere</w:t>
      </w:r>
      <w:r w:rsidR="00B94A86">
        <w:t xml:space="preserve"> geldende besluiten</w:t>
      </w:r>
      <w:r>
        <w:t xml:space="preserve"> van de Gemeente worden -</w:t>
      </w:r>
      <w:r w:rsidR="00B94A86">
        <w:t xml:space="preserve"> voor zover daarbij deze bevoegdheden (eerder) in</w:t>
      </w:r>
      <w:r w:rsidR="0031276A">
        <w:t xml:space="preserve"> </w:t>
      </w:r>
      <w:r w:rsidR="00B94A86">
        <w:t>mandaat/ volmacht/machtiging zijn verleend</w:t>
      </w:r>
      <w:r>
        <w:t xml:space="preserve"> - ingetrokken</w:t>
      </w:r>
      <w:r w:rsidR="00B94A86">
        <w:t>.</w:t>
      </w:r>
    </w:p>
    <w:p w14:paraId="3D7EB193" w14:textId="77777777" w:rsidR="006F18AA" w:rsidRDefault="00DF301E" w:rsidP="00DF301E">
      <w:pPr>
        <w:pStyle w:val="Lijstalinea"/>
        <w:numPr>
          <w:ilvl w:val="0"/>
          <w:numId w:val="11"/>
        </w:numPr>
      </w:pPr>
      <w:r>
        <w:t xml:space="preserve">Dit besluit treedt in werking de dag na de bekendmaking conform artikel </w:t>
      </w:r>
      <w:r w:rsidR="006F18AA">
        <w:t xml:space="preserve">3:42 </w:t>
      </w:r>
      <w:r w:rsidR="00B37AD9">
        <w:t xml:space="preserve">van de Awb </w:t>
      </w:r>
      <w:r w:rsidR="006F18AA">
        <w:t xml:space="preserve">jo artikel 6 van de Bekendmakingswet. </w:t>
      </w:r>
      <w:r w:rsidR="000E236C">
        <w:rPr>
          <w:rStyle w:val="Voetnootmarkering"/>
        </w:rPr>
        <w:footnoteReference w:id="7"/>
      </w:r>
    </w:p>
    <w:p w14:paraId="406F2F97" w14:textId="77777777" w:rsidR="006F18AA" w:rsidRDefault="006F18AA" w:rsidP="006F18AA">
      <w:pPr>
        <w:pStyle w:val="Lijstalinea"/>
      </w:pPr>
    </w:p>
    <w:p w14:paraId="04818FDF" w14:textId="77777777" w:rsidR="006F18AA" w:rsidRDefault="006F18AA" w:rsidP="006F18AA">
      <w:pPr>
        <w:pStyle w:val="Lijstalinea"/>
      </w:pPr>
      <w:r w:rsidRPr="006F18AA">
        <w:rPr>
          <w:highlight w:val="yellow"/>
        </w:rPr>
        <w:t>OF</w:t>
      </w:r>
      <w:r>
        <w:t xml:space="preserve"> </w:t>
      </w:r>
    </w:p>
    <w:p w14:paraId="79791395" w14:textId="77777777" w:rsidR="006F18AA" w:rsidRDefault="006F18AA" w:rsidP="006F18AA">
      <w:pPr>
        <w:pStyle w:val="Lijstalinea"/>
      </w:pPr>
    </w:p>
    <w:p w14:paraId="34F13676" w14:textId="77777777" w:rsidR="006F18AA" w:rsidRDefault="006F18AA" w:rsidP="006F18AA">
      <w:pPr>
        <w:pStyle w:val="Lijstalinea"/>
      </w:pPr>
      <w:r>
        <w:t xml:space="preserve">Dit besluit treedt in werking de dag na bekendmaking daarvan in het </w:t>
      </w:r>
      <w:r w:rsidRPr="00187D03">
        <w:t>door de Gemeente uitgegeven publicatieblad</w:t>
      </w:r>
      <w:r w:rsidR="00187D03">
        <w:t xml:space="preserve">, te weten </w:t>
      </w:r>
      <w:r w:rsidR="00187D03">
        <w:rPr>
          <w:highlight w:val="yellow"/>
        </w:rPr>
        <w:t>I</w:t>
      </w:r>
      <w:r w:rsidR="00187D03" w:rsidRPr="00187D03">
        <w:rPr>
          <w:highlight w:val="yellow"/>
        </w:rPr>
        <w:t>nvoegen binnen gemeente gebruikelijke publicatieblad</w:t>
      </w:r>
      <w:r w:rsidRPr="00187D03">
        <w:rPr>
          <w:highlight w:val="yellow"/>
        </w:rPr>
        <w:t>.</w:t>
      </w:r>
      <w:r>
        <w:t xml:space="preserve"> </w:t>
      </w:r>
    </w:p>
    <w:p w14:paraId="24C3261C" w14:textId="77777777" w:rsidR="006F18AA" w:rsidRDefault="006F18AA" w:rsidP="006F18AA">
      <w:pPr>
        <w:pStyle w:val="Lijstalinea"/>
      </w:pPr>
    </w:p>
    <w:p w14:paraId="6D99C075" w14:textId="77777777" w:rsidR="00B94A86" w:rsidRDefault="00B94A86" w:rsidP="00867419"/>
    <w:p w14:paraId="3E7942DD" w14:textId="77777777" w:rsidR="00187D03" w:rsidRPr="00187D03" w:rsidRDefault="00187D03" w:rsidP="00867419">
      <w:pPr>
        <w:rPr>
          <w:u w:val="single"/>
        </w:rPr>
      </w:pPr>
      <w:r w:rsidRPr="00187D03">
        <w:rPr>
          <w:u w:val="single"/>
        </w:rPr>
        <w:t>Artikel 7: Slotbepaling</w:t>
      </w:r>
    </w:p>
    <w:p w14:paraId="4D06E396" w14:textId="77777777" w:rsidR="00187D03" w:rsidRDefault="00187D03" w:rsidP="00867419">
      <w:r w:rsidRPr="00187D03">
        <w:t xml:space="preserve">Dit besluit wordt aangehaald als: </w:t>
      </w:r>
      <w:r>
        <w:t>‘</w:t>
      </w:r>
      <w:r w:rsidRPr="00187D03">
        <w:t>Besluit mandaa</w:t>
      </w:r>
      <w:r>
        <w:t>t</w:t>
      </w:r>
      <w:r w:rsidRPr="00187D03">
        <w:t>, machtiging en volmacht in verband met Wet wijziging woonplaatsbeginsel</w:t>
      </w:r>
      <w:r>
        <w:t>’.</w:t>
      </w:r>
    </w:p>
    <w:p w14:paraId="1C55E063" w14:textId="77777777" w:rsidR="00187D03" w:rsidRDefault="00187D03" w:rsidP="00867419"/>
    <w:p w14:paraId="258E0936" w14:textId="77777777" w:rsidR="00E86156" w:rsidRDefault="00E86156" w:rsidP="00867419">
      <w:r>
        <w:br/>
      </w:r>
    </w:p>
    <w:p w14:paraId="55042EE3" w14:textId="77777777" w:rsidR="00E86156" w:rsidRDefault="00E86156">
      <w:pPr>
        <w:spacing w:after="200"/>
        <w:jc w:val="left"/>
      </w:pPr>
      <w:r>
        <w:br w:type="page"/>
      </w:r>
    </w:p>
    <w:p w14:paraId="1C87A53D" w14:textId="77777777" w:rsidR="00187D03" w:rsidRPr="00187D03" w:rsidRDefault="00187D03" w:rsidP="00867419">
      <w:r>
        <w:lastRenderedPageBreak/>
        <w:t xml:space="preserve">Aldus besloten door het college van burgemeester en wethouders van de burgemeester van de gemeente </w:t>
      </w:r>
      <w:r w:rsidRPr="00187D03">
        <w:rPr>
          <w:highlight w:val="yellow"/>
        </w:rPr>
        <w:t>Invoegen gemeente</w:t>
      </w:r>
      <w:r>
        <w:t xml:space="preserve"> in de vergadering van </w:t>
      </w:r>
      <w:r w:rsidRPr="00187D03">
        <w:rPr>
          <w:highlight w:val="yellow"/>
        </w:rPr>
        <w:t>Invoegen datum vergadering</w:t>
      </w:r>
    </w:p>
    <w:p w14:paraId="1ADAE8C8" w14:textId="77777777" w:rsidR="00187D03" w:rsidRDefault="00187D03" w:rsidP="00867419">
      <w:pPr>
        <w:rPr>
          <w:highlight w:val="yellow"/>
        </w:rPr>
      </w:pPr>
    </w:p>
    <w:p w14:paraId="5B210F68" w14:textId="77777777" w:rsidR="001162D1" w:rsidRDefault="001162D1" w:rsidP="00867419">
      <w:pPr>
        <w:rPr>
          <w:highlight w:val="yellow"/>
        </w:rPr>
      </w:pPr>
    </w:p>
    <w:p w14:paraId="1E58DEF3" w14:textId="77777777" w:rsidR="00187D03" w:rsidRDefault="00187D03" w:rsidP="00867419">
      <w:pPr>
        <w:rPr>
          <w:highlight w:val="yellow"/>
        </w:rPr>
      </w:pPr>
      <w:r>
        <w:rPr>
          <w:highlight w:val="yellow"/>
        </w:rPr>
        <w:t xml:space="preserve">Het college van burgemeester en wethouders, </w:t>
      </w:r>
    </w:p>
    <w:p w14:paraId="526DE5C5" w14:textId="77777777" w:rsidR="00187D03" w:rsidRDefault="00187D03" w:rsidP="00867419">
      <w:pPr>
        <w:rPr>
          <w:highlight w:val="yellow"/>
        </w:rPr>
      </w:pPr>
    </w:p>
    <w:p w14:paraId="5D149A12" w14:textId="77777777" w:rsidR="001162D1" w:rsidRDefault="001162D1" w:rsidP="00867419">
      <w:pPr>
        <w:rPr>
          <w:highlight w:val="yellow"/>
        </w:rPr>
      </w:pPr>
    </w:p>
    <w:p w14:paraId="7A6786C4" w14:textId="77777777" w:rsidR="001162D1" w:rsidRDefault="001162D1" w:rsidP="00867419">
      <w:pPr>
        <w:rPr>
          <w:highlight w:val="yellow"/>
        </w:rPr>
      </w:pPr>
    </w:p>
    <w:p w14:paraId="70AA126C" w14:textId="77777777" w:rsidR="00EB5A38" w:rsidRDefault="00EB5A38" w:rsidP="00867419"/>
    <w:p w14:paraId="4791B7F0" w14:textId="77777777" w:rsidR="00EB5A38" w:rsidRDefault="00B94A86" w:rsidP="00867419">
      <w:r w:rsidRPr="00B94A86">
        <w:rPr>
          <w:highlight w:val="yellow"/>
        </w:rPr>
        <w:t>Invoegen functie</w:t>
      </w:r>
      <w:r>
        <w:t xml:space="preserve"> </w:t>
      </w:r>
      <w:r w:rsidRPr="00B94A86">
        <w:rPr>
          <w:highlight w:val="yellow"/>
        </w:rPr>
        <w:t>en naam ondertekenaar</w:t>
      </w:r>
      <w:r w:rsidR="00187D03" w:rsidRPr="00187D03">
        <w:rPr>
          <w:highlight w:val="yellow"/>
        </w:rPr>
        <w:t>s</w:t>
      </w:r>
    </w:p>
    <w:p w14:paraId="3C4A5205" w14:textId="77777777" w:rsidR="00B37AD9" w:rsidRDefault="00B37AD9" w:rsidP="00867419"/>
    <w:p w14:paraId="0A396FDF" w14:textId="77777777" w:rsidR="00B37AD9" w:rsidRDefault="00B37AD9" w:rsidP="00867419"/>
    <w:p w14:paraId="5885809F" w14:textId="77777777" w:rsidR="00B37AD9" w:rsidRDefault="00B37AD9" w:rsidP="00867419">
      <w:r>
        <w:t>De burgemeester</w:t>
      </w:r>
    </w:p>
    <w:p w14:paraId="14A43FF6" w14:textId="77777777" w:rsidR="00B37AD9" w:rsidRDefault="00B37AD9" w:rsidP="00867419"/>
    <w:p w14:paraId="7C367EEE" w14:textId="77777777" w:rsidR="00B37AD9" w:rsidRDefault="00B37AD9" w:rsidP="00867419"/>
    <w:p w14:paraId="51B06400" w14:textId="77777777" w:rsidR="00B37AD9" w:rsidRDefault="00B37AD9" w:rsidP="00867419">
      <w:r w:rsidRPr="00FE437B">
        <w:rPr>
          <w:highlight w:val="yellow"/>
        </w:rPr>
        <w:t>Invoegen naam</w:t>
      </w:r>
    </w:p>
    <w:p w14:paraId="76F9316F" w14:textId="77777777" w:rsidR="00B94A86" w:rsidRDefault="00B94A86" w:rsidP="00867419"/>
    <w:p w14:paraId="50EA5C92" w14:textId="77777777" w:rsidR="00187D03" w:rsidRDefault="00187D03" w:rsidP="00867419"/>
    <w:p w14:paraId="49EE2095" w14:textId="77777777" w:rsidR="00187D03" w:rsidRDefault="00187D03" w:rsidP="00867419"/>
    <w:p w14:paraId="4F64E246" w14:textId="77777777" w:rsidR="00B94A86" w:rsidRDefault="00B94A86" w:rsidP="00867419"/>
    <w:p w14:paraId="6C4971B7" w14:textId="77777777" w:rsidR="00EB5A38" w:rsidRDefault="00EB5A38" w:rsidP="00867419">
      <w:r>
        <w:t xml:space="preserve">Tegen dit besluit kan een belanghebbende binnen zes weken na bekendmaking daarvan schriftelijk en gemotiveerd bezwaar indienen bij het college van burgemeester en wethouders c.q. de burgemeester van </w:t>
      </w:r>
      <w:r w:rsidRPr="00EB5A38">
        <w:rPr>
          <w:highlight w:val="yellow"/>
        </w:rPr>
        <w:t xml:space="preserve">Invoegen gemeente en gegevens </w:t>
      </w:r>
      <w:r>
        <w:rPr>
          <w:highlight w:val="yellow"/>
        </w:rPr>
        <w:t xml:space="preserve">waar </w:t>
      </w:r>
      <w:r w:rsidRPr="00EB5A38">
        <w:rPr>
          <w:highlight w:val="yellow"/>
        </w:rPr>
        <w:t>bezwaar</w:t>
      </w:r>
      <w:r>
        <w:t xml:space="preserve"> </w:t>
      </w:r>
      <w:r w:rsidRPr="00EB5A38">
        <w:rPr>
          <w:highlight w:val="yellow"/>
        </w:rPr>
        <w:t>in te dienen</w:t>
      </w:r>
      <w:r>
        <w:t>.</w:t>
      </w:r>
    </w:p>
    <w:p w14:paraId="589C74F6" w14:textId="77777777" w:rsidR="00A063CC" w:rsidRDefault="00A063CC" w:rsidP="00867419"/>
    <w:p w14:paraId="053FE866" w14:textId="77777777" w:rsidR="00A063CC" w:rsidRDefault="00A063CC" w:rsidP="00867419"/>
    <w:p w14:paraId="7FC33B29" w14:textId="77777777" w:rsidR="00A063CC" w:rsidRDefault="00A063CC" w:rsidP="00867419"/>
    <w:p w14:paraId="7FC1973E" w14:textId="77777777" w:rsidR="00A063CC" w:rsidRDefault="00A063CC" w:rsidP="00867419"/>
    <w:p w14:paraId="40D40F66" w14:textId="77777777" w:rsidR="00A063CC" w:rsidRDefault="00A063CC" w:rsidP="00867419"/>
    <w:p w14:paraId="225F88DC" w14:textId="77777777" w:rsidR="00A063CC" w:rsidRDefault="00A063CC" w:rsidP="00867419"/>
    <w:p w14:paraId="46121A5E" w14:textId="77777777" w:rsidR="00A063CC" w:rsidRDefault="00A063CC" w:rsidP="00867419"/>
    <w:p w14:paraId="3F8A55B3" w14:textId="77777777" w:rsidR="00A063CC" w:rsidRDefault="00A063CC" w:rsidP="00867419"/>
    <w:p w14:paraId="39068DCB" w14:textId="77777777" w:rsidR="00A063CC" w:rsidRDefault="00A063CC" w:rsidP="00867419"/>
    <w:p w14:paraId="4B7A6F73" w14:textId="77777777" w:rsidR="00A063CC" w:rsidRDefault="00A063CC" w:rsidP="00867419"/>
    <w:p w14:paraId="33126C4A" w14:textId="77777777" w:rsidR="00A063CC" w:rsidRDefault="00A063CC" w:rsidP="00867419"/>
    <w:p w14:paraId="64D120BB" w14:textId="77777777" w:rsidR="00523B38" w:rsidRDefault="00523B38">
      <w:pPr>
        <w:spacing w:after="200"/>
        <w:jc w:val="left"/>
      </w:pPr>
      <w:r>
        <w:br w:type="page"/>
      </w:r>
    </w:p>
    <w:p w14:paraId="45E19B92" w14:textId="77777777" w:rsidR="00A063CC" w:rsidRDefault="00523B38" w:rsidP="00867419">
      <w:pPr>
        <w:rPr>
          <w:b/>
          <w:bCs/>
          <w:u w:val="single"/>
        </w:rPr>
      </w:pPr>
      <w:r>
        <w:rPr>
          <w:b/>
          <w:bCs/>
          <w:u w:val="single"/>
        </w:rPr>
        <w:lastRenderedPageBreak/>
        <w:t>Aantekeningen</w:t>
      </w:r>
    </w:p>
    <w:p w14:paraId="7B1A109E" w14:textId="77777777" w:rsidR="00523B38" w:rsidRDefault="00523B38" w:rsidP="00867419">
      <w:pPr>
        <w:rPr>
          <w:b/>
          <w:bCs/>
          <w:u w:val="single"/>
        </w:rPr>
      </w:pPr>
    </w:p>
    <w:p w14:paraId="31FC82C6" w14:textId="77777777" w:rsidR="00523B38" w:rsidRDefault="00523B38" w:rsidP="00523B38">
      <w:pPr>
        <w:pStyle w:val="Lijstalinea"/>
        <w:numPr>
          <w:ilvl w:val="0"/>
          <w:numId w:val="2"/>
        </w:numPr>
      </w:pPr>
      <w:r>
        <w:t>Met dit mandaatbesluit beoogt de gemeente die op grond van de wijziging van het woonplaatsbeginsel verantwoordelijk wordt voor de jeugdige de gemeente die ver</w:t>
      </w:r>
      <w:r w:rsidR="00024340">
        <w:t>a</w:t>
      </w:r>
      <w:r>
        <w:t xml:space="preserve">ntwoordelijk was </w:t>
      </w:r>
      <w:r w:rsidR="00024340">
        <w:t xml:space="preserve">voor de jeugdige te mandateren om de </w:t>
      </w:r>
      <w:r w:rsidR="0080127A">
        <w:t>zorgverlening voort te zetten</w:t>
      </w:r>
      <w:r w:rsidR="00182214">
        <w:t xml:space="preserve"> in lijn met het overgangsrecht opgenomen in de Wet wijziging Woonplaatsbeginsel</w:t>
      </w:r>
      <w:r w:rsidR="0080127A">
        <w:t xml:space="preserve">. </w:t>
      </w:r>
    </w:p>
    <w:p w14:paraId="3F31A5B2" w14:textId="77777777" w:rsidR="00A920CA" w:rsidRDefault="00A920CA" w:rsidP="00A920CA">
      <w:pPr>
        <w:pStyle w:val="Lijstalinea"/>
      </w:pPr>
    </w:p>
    <w:p w14:paraId="6EAE673E" w14:textId="77777777" w:rsidR="00A920CA" w:rsidRDefault="00A920CA" w:rsidP="00A920CA">
      <w:pPr>
        <w:pStyle w:val="Lijstalinea"/>
      </w:pPr>
      <w:r>
        <w:t xml:space="preserve">Waar in dit document gele vlakken zijn opgenomen (let op dit is niet altijd direct zichtbaar, afhankelijk van het programma waarin u dit document opent) dient de gemeente die het mandaat geeft informatie in te vullen. </w:t>
      </w:r>
    </w:p>
    <w:p w14:paraId="33BB9D9A" w14:textId="77777777" w:rsidR="0080127A" w:rsidRDefault="0080127A" w:rsidP="0080127A">
      <w:pPr>
        <w:pStyle w:val="Lijstalinea"/>
      </w:pPr>
    </w:p>
    <w:p w14:paraId="3F99DBF6" w14:textId="77777777" w:rsidR="0080127A" w:rsidRDefault="0080127A" w:rsidP="00523B38">
      <w:pPr>
        <w:pStyle w:val="Lijstalinea"/>
        <w:numPr>
          <w:ilvl w:val="0"/>
          <w:numId w:val="2"/>
        </w:numPr>
      </w:pPr>
      <w:r>
        <w:t xml:space="preserve">Het is afhankelijk van de bevoegdheidsverdeling binnen de individuele gemeente wie het mandaat moet geven en tot hoever het mandaat rijkt. </w:t>
      </w:r>
    </w:p>
    <w:p w14:paraId="0C983CFE" w14:textId="77777777" w:rsidR="0080127A" w:rsidRDefault="0080127A" w:rsidP="0080127A">
      <w:pPr>
        <w:pStyle w:val="Lijstalinea"/>
      </w:pPr>
    </w:p>
    <w:p w14:paraId="4768A0D5" w14:textId="77777777" w:rsidR="0080127A" w:rsidRDefault="0080127A" w:rsidP="0080127A">
      <w:pPr>
        <w:pStyle w:val="Lijstalinea"/>
      </w:pPr>
      <w:r>
        <w:t>Indien een gemeente de verplichtingen uit hoofde van de Jeugdwet zelf uitvoert is het college van burgemeester en wethouders bevoegd tot het nemen van besluiten tot het aangaan van privaatrechtelijke handelingen (zoals het sluiten van overeenkomsten met jeugdhulpaanbieders)</w:t>
      </w:r>
      <w:r w:rsidR="00BE6AD6">
        <w:t>. Dat volgt uit artikel 160 lid 1 onder e van de Gemeentewet. D</w:t>
      </w:r>
      <w:r>
        <w:t xml:space="preserve">e burgemeester is bevoegd tot het ondertekenen van de overeenkomsten waarin de privaatrechtelijke handeling is gevat. </w:t>
      </w:r>
      <w:r w:rsidR="00BE6AD6">
        <w:t xml:space="preserve">Dat vloeit voort uit artikel 171 van de Gemeentewet, waarin is bepaald dat de burgemeester de gemeente in en buiten rechte vertegenwoordigt. </w:t>
      </w:r>
      <w:r>
        <w:t xml:space="preserve">Dat is het uitgangspunt waar dit format van uit gaat. De </w:t>
      </w:r>
      <w:r w:rsidR="00BE6AD6">
        <w:t>bevoegdheids</w:t>
      </w:r>
      <w:r>
        <w:t>verdeling binnen een</w:t>
      </w:r>
      <w:r w:rsidR="00BE6AD6">
        <w:t xml:space="preserve"> individuele</w:t>
      </w:r>
      <w:r>
        <w:t xml:space="preserve"> gemeente kan echter anders zijn. </w:t>
      </w:r>
    </w:p>
    <w:p w14:paraId="13EEECF0" w14:textId="77777777" w:rsidR="0080127A" w:rsidRDefault="0080127A" w:rsidP="0080127A">
      <w:pPr>
        <w:pStyle w:val="Lijstalinea"/>
      </w:pPr>
    </w:p>
    <w:p w14:paraId="500479B2" w14:textId="77777777" w:rsidR="00B80BEE" w:rsidRDefault="0080127A" w:rsidP="00182214">
      <w:pPr>
        <w:pStyle w:val="Lijstalinea"/>
      </w:pPr>
      <w:r>
        <w:t xml:space="preserve">Indien een gemeente de verplichtingen uit hoofde van de Jeugdwet (deels) niet zelf uitvoert, maar de uitvoering </w:t>
      </w:r>
      <w:r w:rsidR="00182214">
        <w:t xml:space="preserve">bijvoorbeeld </w:t>
      </w:r>
      <w:r>
        <w:t>heeft ondergebracht in een intergemeentelijke samenwerking op grond van de Wet Gemeenschappelijke Regeling</w:t>
      </w:r>
      <w:r w:rsidR="00182214">
        <w:t>,</w:t>
      </w:r>
      <w:r>
        <w:t xml:space="preserve"> of </w:t>
      </w:r>
      <w:r w:rsidR="00182214">
        <w:t>een samenwerkingsorgaan of inkooporganisatie dan kan het zijn dat bevoegdheden van de gemeenten gemandateerd</w:t>
      </w:r>
      <w:r w:rsidR="00B80BEE">
        <w:t>,</w:t>
      </w:r>
      <w:r w:rsidR="00182214">
        <w:t xml:space="preserve"> gedelegeerd</w:t>
      </w:r>
      <w:r w:rsidR="00B80BEE">
        <w:t xml:space="preserve"> of anderszins overgedragen</w:t>
      </w:r>
      <w:r w:rsidR="00182214">
        <w:t xml:space="preserve"> zijn aan het samenwerkingsverband. Bij gebruik van dit format is in die situatie van belang dat gecheckt wordt of de gemeente de bevoegdheid die hier gemandateerd wordt zelf nog wel heeft en kan </w:t>
      </w:r>
      <w:r w:rsidR="00BE6AD6">
        <w:t>verleggen</w:t>
      </w:r>
      <w:r w:rsidR="00182214">
        <w:t>.</w:t>
      </w:r>
      <w:r w:rsidR="00B80BEE">
        <w:t xml:space="preserve"> </w:t>
      </w:r>
    </w:p>
    <w:p w14:paraId="56BD7894" w14:textId="77777777" w:rsidR="00B80BEE" w:rsidRDefault="00B80BEE" w:rsidP="00182214">
      <w:pPr>
        <w:pStyle w:val="Lijstalinea"/>
      </w:pPr>
    </w:p>
    <w:p w14:paraId="3DC7BA94" w14:textId="77777777" w:rsidR="0080127A" w:rsidRDefault="00B80BEE" w:rsidP="00182214">
      <w:pPr>
        <w:pStyle w:val="Lijstalinea"/>
      </w:pPr>
      <w:r>
        <w:t xml:space="preserve">Dit format kan ook gebruikt worden om een mandaat te verlenen aan het </w:t>
      </w:r>
      <w:r w:rsidR="00E86156">
        <w:t>samenwerkingverband/</w:t>
      </w:r>
      <w:r>
        <w:t xml:space="preserve"> uitvoeringsorgaan aan wie de gemeente die verantwoordelijk was voor de Jeugdige bevoegdheden heeft gegeven. Waar Gemeente staat moet dan een andere term opgenomen worden (bijvoorbeeld ‘Uitvoeringsorgaan’).  </w:t>
      </w:r>
      <w:r w:rsidR="00182214">
        <w:t xml:space="preserve"> </w:t>
      </w:r>
    </w:p>
    <w:p w14:paraId="324DA06D" w14:textId="77777777" w:rsidR="0018657F" w:rsidRDefault="0018657F" w:rsidP="00182214">
      <w:pPr>
        <w:pStyle w:val="Lijstalinea"/>
      </w:pPr>
    </w:p>
    <w:p w14:paraId="67103536" w14:textId="77777777" w:rsidR="0018657F" w:rsidRDefault="0018657F" w:rsidP="0018657F">
      <w:pPr>
        <w:pStyle w:val="Lijstalinea"/>
        <w:numPr>
          <w:ilvl w:val="0"/>
          <w:numId w:val="2"/>
        </w:numPr>
      </w:pPr>
      <w:r>
        <w:t>Ook bij de gemeente die gemandateerd wordt (de mandaatnemer) geldt dat het kan zijn dat niet het college van burgemeester en wethouders c.q. de burgemeester de partij is die daadwerkelijk de overeenkomst met de jeugdhulpaanbieder heeft gesloten op grond waarvan de zorgverlening voortgezet moet worden. Zie hetgeen hierover bij aantekening 2 is opgemerkt.</w:t>
      </w:r>
    </w:p>
    <w:p w14:paraId="73D63A9F" w14:textId="77777777" w:rsidR="0080127A" w:rsidRDefault="0080127A" w:rsidP="0080127A"/>
    <w:p w14:paraId="7C93D613" w14:textId="77777777" w:rsidR="00B80BEE" w:rsidRDefault="00B80BEE" w:rsidP="00B80BEE">
      <w:pPr>
        <w:pStyle w:val="Lijstalinea"/>
        <w:numPr>
          <w:ilvl w:val="0"/>
          <w:numId w:val="2"/>
        </w:numPr>
      </w:pPr>
      <w:r>
        <w:t xml:space="preserve">In artikel 2 zijn </w:t>
      </w:r>
      <w:r w:rsidR="00731C8B">
        <w:t>twee</w:t>
      </w:r>
      <w:r>
        <w:t xml:space="preserve"> opties opgenomen omtrent ondermandaat, te weten het door geven van de bevoegdheid die de gemeente krijgt aan interne of externe personen. </w:t>
      </w:r>
      <w:r w:rsidR="00A066D6">
        <w:t>U moet voor het gebruik van het format een van opties kiezen. De opties zijn hieronder toegelicht:</w:t>
      </w:r>
    </w:p>
    <w:p w14:paraId="4E88A1E5" w14:textId="77777777" w:rsidR="00B80BEE" w:rsidRDefault="00B80BEE" w:rsidP="00B80BEE">
      <w:pPr>
        <w:pStyle w:val="Lijstalinea"/>
      </w:pPr>
    </w:p>
    <w:p w14:paraId="6AB7A5EE" w14:textId="77777777" w:rsidR="00D47A37" w:rsidRDefault="00D47A37" w:rsidP="00B80BEE">
      <w:pPr>
        <w:pStyle w:val="Lijstalinea"/>
        <w:numPr>
          <w:ilvl w:val="0"/>
          <w:numId w:val="14"/>
        </w:numPr>
      </w:pPr>
      <w:r>
        <w:t xml:space="preserve">Indien u optie </w:t>
      </w:r>
      <w:r w:rsidR="00731C8B">
        <w:t>1</w:t>
      </w:r>
      <w:r>
        <w:t xml:space="preserve"> kiest staat u ondermandaat binnen de gemeentelijke organisatie toe. Dat betekent dat alleen medewerkers van de gemeente uitvoering mogen geven aan dit mandaat. Overdracht van de gemandateerde bevoegdheid aan externen is niet mogelijk;</w:t>
      </w:r>
    </w:p>
    <w:p w14:paraId="22659034" w14:textId="77777777" w:rsidR="00AE52D2" w:rsidRDefault="00D47A37" w:rsidP="00B80BEE">
      <w:pPr>
        <w:pStyle w:val="Lijstalinea"/>
        <w:numPr>
          <w:ilvl w:val="0"/>
          <w:numId w:val="14"/>
        </w:numPr>
      </w:pPr>
      <w:r>
        <w:lastRenderedPageBreak/>
        <w:t xml:space="preserve">Indien u optie </w:t>
      </w:r>
      <w:r w:rsidR="00731C8B">
        <w:t>2</w:t>
      </w:r>
      <w:r>
        <w:t xml:space="preserve"> kiest staat u ondermandaat binnen de gemeentelijke organisatie en buiten de gemeentelijke organisatie toe, voor zover die externe organisatie belast is met uitvoering van de taken op grond van de Jeugdwet. Deze bepaling is vooral geschreven met het oog op situaties waarin een externe uitvoeringsinstantie taken in het kader van de Jeugdwet uitvoert voor de gemeente die u mandateert. </w:t>
      </w:r>
    </w:p>
    <w:p w14:paraId="2D59CE38" w14:textId="77777777" w:rsidR="00AE52D2" w:rsidRDefault="00AE52D2" w:rsidP="00AE52D2">
      <w:pPr>
        <w:pStyle w:val="Lijstalinea"/>
        <w:ind w:left="1440"/>
      </w:pPr>
    </w:p>
    <w:p w14:paraId="6948FE14" w14:textId="77777777" w:rsidR="00AE52D2" w:rsidRDefault="00D47A37" w:rsidP="00AE52D2">
      <w:pPr>
        <w:pStyle w:val="Lijstalinea"/>
        <w:ind w:left="1440"/>
      </w:pPr>
      <w:r>
        <w:t xml:space="preserve">Om te borgen dat de Gemeente die het mandaat geeft wel weet dat een externe organisatie de taken uitvoert is een bepaling opgenomen </w:t>
      </w:r>
      <w:r w:rsidR="00AE52D2">
        <w:t xml:space="preserve">dat de Gemeente voorafgaand aan het extern mandateren geïnformeerd moet worden </w:t>
      </w:r>
      <w:r>
        <w:t>als een externe partij de feitelijke taken op grond van het mandaat verricht.</w:t>
      </w:r>
      <w:r w:rsidR="00AE52D2">
        <w:t xml:space="preserve"> Verondersteld wordt dat een dergelijke uitbesteding van taken tijdens de contacten tussen de gemeente voorafgaand aan d</w:t>
      </w:r>
      <w:r w:rsidR="00834A3E">
        <w:t xml:space="preserve">eze </w:t>
      </w:r>
      <w:r w:rsidR="00AE52D2">
        <w:t>mandaat</w:t>
      </w:r>
      <w:r w:rsidR="00834A3E">
        <w:t>verlening</w:t>
      </w:r>
      <w:r w:rsidR="00AE52D2">
        <w:t xml:space="preserve"> onderdeel van het gesprek is. Desgewenst zou u als gemeente in de tekst van artikel 2, lid 1 bij optie 2 ook op kunnen nemen dat de gemeente voorafgaand schriftelijke toestemming moet geven voor uitvoering van taken door een externe partij. Dat is een iets zwaardere verplichting dan informeren</w:t>
      </w:r>
      <w:r w:rsidR="00834A3E">
        <w:t>.</w:t>
      </w:r>
    </w:p>
    <w:p w14:paraId="304826E6" w14:textId="77777777" w:rsidR="00731C8B" w:rsidRDefault="00731C8B" w:rsidP="00731C8B">
      <w:pPr>
        <w:rPr>
          <w:highlight w:val="yellow"/>
        </w:rPr>
      </w:pPr>
    </w:p>
    <w:p w14:paraId="5B091307" w14:textId="77777777" w:rsidR="00731C8B" w:rsidRDefault="00731C8B" w:rsidP="00327241">
      <w:pPr>
        <w:ind w:left="708"/>
      </w:pPr>
      <w:r>
        <w:t>Strikt genomen bestaat er ook een mogelijkheid om ondermandaat in zijn geheel uit te sluiten. Alleen het college van burgemeester en wethouder en de burgemeester kunnen dan uitvoering geven aan dit mandaat. In de praktijk levert deze optie naar verwachting geen werkbare situatie op, nu het college van burgermeester en wethouders en de burgemeester doorgaans haar bevoegdheden binnen de eigen gemeente (intern) onder gemandateerd heeft en niet zelf uitvoert. Daarom is deze optie niet uitgewerkt</w:t>
      </w:r>
      <w:r w:rsidR="00FE437B">
        <w:t xml:space="preserve"> in dit model</w:t>
      </w:r>
      <w:r>
        <w:t xml:space="preserve">. </w:t>
      </w:r>
    </w:p>
    <w:p w14:paraId="062BECB5" w14:textId="77777777" w:rsidR="00B80BEE" w:rsidRDefault="00B80BEE" w:rsidP="00B80BEE">
      <w:pPr>
        <w:pStyle w:val="Lijstalinea"/>
      </w:pPr>
    </w:p>
    <w:p w14:paraId="5E248437" w14:textId="77777777" w:rsidR="00D47A37" w:rsidRDefault="00D47A37" w:rsidP="00EC7718">
      <w:pPr>
        <w:pStyle w:val="Lijstalinea"/>
        <w:numPr>
          <w:ilvl w:val="0"/>
          <w:numId w:val="2"/>
        </w:numPr>
      </w:pPr>
      <w:r>
        <w:t>De gemeenten kunnen onderling afspreken op welk moment er een overzicht moet zijn welk jeugdigen onder deze mandaatregeling vallen. De datum kunt u invullen in dit format. Er is bewust voor gekozen de jeugdigen niet in het mandaat of in een bijlage op te nemen, zodat deze informatie niet (per ongeluk) mee gepubliceerd kan worden bij het bekendmaken van het mandaatbesluit. De informatie omtrent de jeugdigen dient in verband met de privacy</w:t>
      </w:r>
      <w:r w:rsidR="000E236C">
        <w:t xml:space="preserve"> en regelgeving hieromtrent (waaronder AVG)</w:t>
      </w:r>
      <w:r>
        <w:t xml:space="preserve"> uiteraard niet openbaar te worden.</w:t>
      </w:r>
    </w:p>
    <w:p w14:paraId="39F10F1E" w14:textId="77777777" w:rsidR="000E236C" w:rsidRDefault="000E236C" w:rsidP="000E236C">
      <w:pPr>
        <w:pStyle w:val="Lijstalinea"/>
      </w:pPr>
    </w:p>
    <w:p w14:paraId="6FDDC345" w14:textId="77777777" w:rsidR="00967408" w:rsidRDefault="00967408" w:rsidP="00DC4061">
      <w:pPr>
        <w:pStyle w:val="Lijstalinea"/>
        <w:numPr>
          <w:ilvl w:val="0"/>
          <w:numId w:val="2"/>
        </w:numPr>
      </w:pPr>
      <w:r>
        <w:t xml:space="preserve">In artikel 3 lid 3 is een beperking van het mandaat opgenomen. Indien dit artikel is opgenomen mag de mandaatnemer niet zelfstandig – zonder voorafgaande schriftelijke toestemming van de Gemeente – de voorwaarden, tarieven en producten waaronder de </w:t>
      </w:r>
      <w:r w:rsidR="00FE437B">
        <w:t>hulp</w:t>
      </w:r>
      <w:r>
        <w:t xml:space="preserve">verlening plaatsvindt aan de Jeugdigen wijzigen. Gedachte hierachter is dat de Gemeente mogelijk inspraak wil hebben in geval er wijzigingen optreden in de voorwaarden. </w:t>
      </w:r>
      <w:r w:rsidR="00FE437B">
        <w:t xml:space="preserve">Een alternatieve optie is dat de Gemeente de mandaatnemer wel de bevoegdheid geeft om – zonder voorafgaande toestemming – de voorwaarden, tarieven en producten waaronder de hulpverlening plaatsvindt mag wijzigen. Artikel 3 lid 3 kan dan worden aangepast in: </w:t>
      </w:r>
    </w:p>
    <w:p w14:paraId="299911F3" w14:textId="77777777" w:rsidR="00FE437B" w:rsidRDefault="00FE437B" w:rsidP="00FE437B">
      <w:pPr>
        <w:pStyle w:val="Lijstalinea"/>
      </w:pPr>
    </w:p>
    <w:p w14:paraId="70524FB2" w14:textId="77777777" w:rsidR="00FE437B" w:rsidRPr="00FE437B" w:rsidRDefault="00FE437B" w:rsidP="00FE437B">
      <w:pPr>
        <w:pStyle w:val="Lijstalinea"/>
        <w:rPr>
          <w:i/>
          <w:iCs/>
        </w:rPr>
      </w:pPr>
      <w:r w:rsidRPr="00FE437B">
        <w:rPr>
          <w:i/>
          <w:iCs/>
        </w:rPr>
        <w:t>“Het is de mandaatnemer toegestaan om zonder voorafgaande schriftelijke toestemming van de Gemeente wijzigingen door te voeren ten aanzien van de producten/diensten, tarieven danwel voorwaarden waaronder jeugdhulp wordt verleend aan de Jeugdigen.”</w:t>
      </w:r>
    </w:p>
    <w:p w14:paraId="20C85740" w14:textId="77777777" w:rsidR="00967408" w:rsidRDefault="00967408" w:rsidP="00967408">
      <w:pPr>
        <w:pStyle w:val="Lijstalinea"/>
      </w:pPr>
    </w:p>
    <w:p w14:paraId="40C80831" w14:textId="77777777" w:rsidR="000E236C" w:rsidRDefault="000E236C" w:rsidP="00EC7718">
      <w:pPr>
        <w:pStyle w:val="Lijstalinea"/>
        <w:numPr>
          <w:ilvl w:val="0"/>
          <w:numId w:val="2"/>
        </w:numPr>
      </w:pPr>
      <w:r>
        <w:t xml:space="preserve">In artikel </w:t>
      </w:r>
      <w:r w:rsidR="00967408">
        <w:t>6</w:t>
      </w:r>
      <w:r>
        <w:t xml:space="preserve"> treft u twee opties omtrent de bekendmaking. U kunt een van beide kiezen. De twee opties zijn suggesties, u kunt uiteraard ook gebruik maken van de bekendmakingsclausule zoals u die normaliter binnen uw gemeente hanteert. </w:t>
      </w:r>
    </w:p>
    <w:p w14:paraId="54EF26C0" w14:textId="77777777" w:rsidR="00A063CC" w:rsidRDefault="00A063CC" w:rsidP="00867419"/>
    <w:p w14:paraId="75AE839D" w14:textId="77777777" w:rsidR="00A063CC" w:rsidRDefault="00A063CC" w:rsidP="00867419"/>
    <w:p w14:paraId="42FC2581" w14:textId="77777777" w:rsidR="00A063CC" w:rsidRDefault="00A063CC" w:rsidP="00867419"/>
    <w:p w14:paraId="5E37AF49" w14:textId="77777777" w:rsidR="00A063CC" w:rsidRPr="00867419" w:rsidRDefault="00A063CC" w:rsidP="00867419"/>
    <w:sectPr w:rsidR="00A063CC" w:rsidRPr="00867419" w:rsidSect="00E7219F">
      <w:headerReference w:type="first" r:id="rId7"/>
      <w:footerReference w:type="first" r:id="rId8"/>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28EF" w14:textId="77777777" w:rsidR="00E9556A" w:rsidRDefault="00E9556A" w:rsidP="006C4005">
      <w:pPr>
        <w:spacing w:line="240" w:lineRule="auto"/>
      </w:pPr>
      <w:r>
        <w:separator/>
      </w:r>
    </w:p>
  </w:endnote>
  <w:endnote w:type="continuationSeparator" w:id="0">
    <w:p w14:paraId="52F25859" w14:textId="77777777" w:rsidR="00E9556A" w:rsidRDefault="00E9556A" w:rsidP="006C4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281E" w14:textId="77777777" w:rsidR="00E7219F" w:rsidRDefault="00E7219F">
    <w:pPr>
      <w:pStyle w:val="Voettekst"/>
      <w:rPr>
        <w:rFonts w:ascii="Trebuchet MS" w:hAnsi="Trebuchet MS"/>
        <w:sz w:val="16"/>
        <w:szCs w:val="16"/>
      </w:rPr>
    </w:pPr>
  </w:p>
  <w:p w14:paraId="5716CC0E" w14:textId="77777777" w:rsidR="009458BB" w:rsidRDefault="009458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B482" w14:textId="77777777" w:rsidR="00E9556A" w:rsidRDefault="00E9556A" w:rsidP="006C4005">
      <w:pPr>
        <w:spacing w:line="240" w:lineRule="auto"/>
      </w:pPr>
      <w:r>
        <w:separator/>
      </w:r>
    </w:p>
  </w:footnote>
  <w:footnote w:type="continuationSeparator" w:id="0">
    <w:p w14:paraId="2B1B0AFA" w14:textId="77777777" w:rsidR="00E9556A" w:rsidRDefault="00E9556A" w:rsidP="006C4005">
      <w:pPr>
        <w:spacing w:line="240" w:lineRule="auto"/>
      </w:pPr>
      <w:r>
        <w:continuationSeparator/>
      </w:r>
    </w:p>
  </w:footnote>
  <w:footnote w:id="1">
    <w:p w14:paraId="72B3CF53" w14:textId="77777777" w:rsidR="00000000" w:rsidRDefault="00523B38">
      <w:pPr>
        <w:pStyle w:val="Voetnoottekst"/>
      </w:pPr>
      <w:r w:rsidRPr="00A920CA">
        <w:rPr>
          <w:rStyle w:val="Voetnootmarkering"/>
          <w:rFonts w:ascii="Calibri" w:hAnsi="Calibri" w:cs="Calibri"/>
          <w:sz w:val="16"/>
          <w:szCs w:val="16"/>
        </w:rPr>
        <w:footnoteRef/>
      </w:r>
      <w:r w:rsidRPr="00A920CA">
        <w:rPr>
          <w:rFonts w:ascii="Calibri" w:hAnsi="Calibri" w:cs="Calibri"/>
          <w:sz w:val="16"/>
          <w:szCs w:val="16"/>
        </w:rPr>
        <w:t xml:space="preserve"> Zie aantekening 1</w:t>
      </w:r>
      <w:r w:rsidR="003425D4" w:rsidRPr="00A920CA">
        <w:rPr>
          <w:rFonts w:ascii="Calibri" w:hAnsi="Calibri" w:cs="Calibri"/>
          <w:sz w:val="16"/>
          <w:szCs w:val="16"/>
        </w:rPr>
        <w:t>.</w:t>
      </w:r>
    </w:p>
  </w:footnote>
  <w:footnote w:id="2">
    <w:p w14:paraId="7725A227" w14:textId="77777777" w:rsidR="00000000" w:rsidRDefault="00523B38">
      <w:pPr>
        <w:pStyle w:val="Voetnoottekst"/>
      </w:pPr>
      <w:r w:rsidRPr="00A920CA">
        <w:rPr>
          <w:rStyle w:val="Voetnootmarkering"/>
          <w:rFonts w:ascii="Calibri" w:hAnsi="Calibri" w:cs="Calibri"/>
          <w:sz w:val="16"/>
          <w:szCs w:val="16"/>
        </w:rPr>
        <w:footnoteRef/>
      </w:r>
      <w:r w:rsidRPr="00A920CA">
        <w:rPr>
          <w:rFonts w:ascii="Calibri" w:hAnsi="Calibri" w:cs="Calibri"/>
          <w:sz w:val="16"/>
          <w:szCs w:val="16"/>
        </w:rPr>
        <w:t xml:space="preserve"> Zie aantekening 2</w:t>
      </w:r>
      <w:r w:rsidR="003425D4" w:rsidRPr="00A920CA">
        <w:rPr>
          <w:rFonts w:ascii="Calibri" w:hAnsi="Calibri" w:cs="Calibri"/>
          <w:sz w:val="16"/>
          <w:szCs w:val="16"/>
        </w:rPr>
        <w:t>.</w:t>
      </w:r>
    </w:p>
  </w:footnote>
  <w:footnote w:id="3">
    <w:p w14:paraId="79CAADDF" w14:textId="77777777" w:rsidR="00000000" w:rsidRDefault="0018657F">
      <w:pPr>
        <w:pStyle w:val="Voetnoottekst"/>
      </w:pPr>
      <w:r w:rsidRPr="00A920CA">
        <w:rPr>
          <w:rStyle w:val="Voetnootmarkering"/>
          <w:rFonts w:asciiTheme="minorHAnsi" w:hAnsiTheme="minorHAnsi" w:cs="Calibri"/>
          <w:sz w:val="16"/>
          <w:szCs w:val="16"/>
        </w:rPr>
        <w:footnoteRef/>
      </w:r>
      <w:r w:rsidRPr="00A920CA">
        <w:rPr>
          <w:rFonts w:asciiTheme="minorHAnsi" w:hAnsiTheme="minorHAnsi" w:cs="Calibri"/>
          <w:sz w:val="16"/>
          <w:szCs w:val="16"/>
        </w:rPr>
        <w:t xml:space="preserve"> Zie aantekening 3</w:t>
      </w:r>
      <w:r w:rsidR="003425D4" w:rsidRPr="00A920CA">
        <w:rPr>
          <w:rFonts w:asciiTheme="minorHAnsi" w:hAnsiTheme="minorHAnsi" w:cs="Calibri"/>
          <w:sz w:val="16"/>
          <w:szCs w:val="16"/>
        </w:rPr>
        <w:t>.</w:t>
      </w:r>
    </w:p>
  </w:footnote>
  <w:footnote w:id="4">
    <w:p w14:paraId="6F7D4004" w14:textId="77777777" w:rsidR="00000000" w:rsidRDefault="004F6DCF">
      <w:pPr>
        <w:pStyle w:val="Voetnoottekst"/>
      </w:pPr>
      <w:r w:rsidRPr="00A920CA">
        <w:rPr>
          <w:rStyle w:val="Voetnootmarkering"/>
          <w:rFonts w:asciiTheme="minorHAnsi" w:hAnsiTheme="minorHAnsi" w:cs="Calibri"/>
          <w:sz w:val="16"/>
          <w:szCs w:val="16"/>
        </w:rPr>
        <w:footnoteRef/>
      </w:r>
      <w:r w:rsidRPr="00A920CA">
        <w:rPr>
          <w:rFonts w:asciiTheme="minorHAnsi" w:hAnsiTheme="minorHAnsi" w:cs="Calibri"/>
          <w:sz w:val="16"/>
          <w:szCs w:val="16"/>
        </w:rPr>
        <w:t xml:space="preserve"> Zie aantekening 4.</w:t>
      </w:r>
    </w:p>
  </w:footnote>
  <w:footnote w:id="5">
    <w:p w14:paraId="330DCAF8" w14:textId="77777777" w:rsidR="00000000" w:rsidRDefault="004F6DCF">
      <w:pPr>
        <w:pStyle w:val="Voetnoottekst"/>
      </w:pPr>
      <w:r w:rsidRPr="00A920CA">
        <w:rPr>
          <w:rStyle w:val="Voetnootmarkering"/>
          <w:rFonts w:asciiTheme="minorHAnsi" w:hAnsiTheme="minorHAnsi" w:cs="Calibri"/>
          <w:sz w:val="16"/>
          <w:szCs w:val="16"/>
        </w:rPr>
        <w:footnoteRef/>
      </w:r>
      <w:r w:rsidRPr="00A920CA">
        <w:rPr>
          <w:rFonts w:asciiTheme="minorHAnsi" w:hAnsiTheme="minorHAnsi" w:cs="Calibri"/>
          <w:sz w:val="16"/>
          <w:szCs w:val="16"/>
        </w:rPr>
        <w:t xml:space="preserve"> Zie aantekening 5.</w:t>
      </w:r>
    </w:p>
  </w:footnote>
  <w:footnote w:id="6">
    <w:p w14:paraId="33306D21" w14:textId="77777777" w:rsidR="00000000" w:rsidRDefault="00967408">
      <w:pPr>
        <w:pStyle w:val="Voetnoottekst"/>
      </w:pPr>
      <w:r w:rsidRPr="00133DC1">
        <w:rPr>
          <w:rStyle w:val="Voetnootmarkering"/>
          <w:rFonts w:asciiTheme="minorHAnsi" w:hAnsiTheme="minorHAnsi" w:cs="Calibri"/>
          <w:sz w:val="16"/>
          <w:szCs w:val="16"/>
        </w:rPr>
        <w:footnoteRef/>
      </w:r>
      <w:r w:rsidRPr="00133DC1">
        <w:rPr>
          <w:rFonts w:asciiTheme="minorHAnsi" w:hAnsiTheme="minorHAnsi" w:cs="Calibri"/>
          <w:sz w:val="16"/>
          <w:szCs w:val="16"/>
        </w:rPr>
        <w:t xml:space="preserve"> Zie aantekening 6.</w:t>
      </w:r>
    </w:p>
  </w:footnote>
  <w:footnote w:id="7">
    <w:p w14:paraId="63D74714" w14:textId="77777777" w:rsidR="00000000" w:rsidRDefault="000E236C">
      <w:pPr>
        <w:pStyle w:val="Voetnoottekst"/>
      </w:pPr>
      <w:r w:rsidRPr="00133DC1">
        <w:rPr>
          <w:rStyle w:val="Voetnootmarkering"/>
          <w:rFonts w:asciiTheme="minorHAnsi" w:hAnsiTheme="minorHAnsi" w:cs="Calibri"/>
          <w:sz w:val="16"/>
          <w:szCs w:val="16"/>
        </w:rPr>
        <w:footnoteRef/>
      </w:r>
      <w:r w:rsidRPr="00133DC1">
        <w:rPr>
          <w:rFonts w:asciiTheme="minorHAnsi" w:hAnsiTheme="minorHAnsi" w:cs="Calibri"/>
          <w:sz w:val="16"/>
          <w:szCs w:val="16"/>
        </w:rPr>
        <w:t xml:space="preserve"> Zie aantekening </w:t>
      </w:r>
      <w:r w:rsidR="00967408" w:rsidRPr="00133DC1">
        <w:rPr>
          <w:rFonts w:asciiTheme="minorHAnsi" w:hAnsiTheme="minorHAnsi" w:cs="Calibri"/>
          <w:sz w:val="16"/>
          <w:szCs w:val="16"/>
        </w:rPr>
        <w:t>7</w:t>
      </w:r>
      <w:r w:rsidRPr="00133DC1">
        <w:rPr>
          <w:rFonts w:asciiTheme="minorHAnsi" w:hAnsiTheme="minorHAnsi"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AB6C" w14:textId="77777777" w:rsidR="00E7219F" w:rsidRDefault="00E7219F" w:rsidP="00E7219F">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A601C"/>
    <w:multiLevelType w:val="hybridMultilevel"/>
    <w:tmpl w:val="B008B61C"/>
    <w:lvl w:ilvl="0" w:tplc="04130001">
      <w:start w:val="1"/>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B276E8"/>
    <w:multiLevelType w:val="hybridMultilevel"/>
    <w:tmpl w:val="332445E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332B41FF"/>
    <w:multiLevelType w:val="hybridMultilevel"/>
    <w:tmpl w:val="7A185068"/>
    <w:lvl w:ilvl="0" w:tplc="DD5A5D0E">
      <w:start w:val="1"/>
      <w:numFmt w:val="decimal"/>
      <w:lvlText w:val="%1."/>
      <w:lvlJc w:val="left"/>
      <w:pPr>
        <w:ind w:left="420" w:hanging="360"/>
      </w:pPr>
      <w:rPr>
        <w:rFonts w:cs="Times New Roman" w:hint="default"/>
      </w:rPr>
    </w:lvl>
    <w:lvl w:ilvl="1" w:tplc="04130019" w:tentative="1">
      <w:start w:val="1"/>
      <w:numFmt w:val="lowerLetter"/>
      <w:lvlText w:val="%2."/>
      <w:lvlJc w:val="left"/>
      <w:pPr>
        <w:ind w:left="1140" w:hanging="360"/>
      </w:pPr>
      <w:rPr>
        <w:rFonts w:cs="Times New Roman"/>
      </w:rPr>
    </w:lvl>
    <w:lvl w:ilvl="2" w:tplc="0413001B" w:tentative="1">
      <w:start w:val="1"/>
      <w:numFmt w:val="lowerRoman"/>
      <w:lvlText w:val="%3."/>
      <w:lvlJc w:val="right"/>
      <w:pPr>
        <w:ind w:left="1860" w:hanging="180"/>
      </w:pPr>
      <w:rPr>
        <w:rFonts w:cs="Times New Roman"/>
      </w:rPr>
    </w:lvl>
    <w:lvl w:ilvl="3" w:tplc="0413000F" w:tentative="1">
      <w:start w:val="1"/>
      <w:numFmt w:val="decimal"/>
      <w:lvlText w:val="%4."/>
      <w:lvlJc w:val="left"/>
      <w:pPr>
        <w:ind w:left="2580" w:hanging="360"/>
      </w:pPr>
      <w:rPr>
        <w:rFonts w:cs="Times New Roman"/>
      </w:rPr>
    </w:lvl>
    <w:lvl w:ilvl="4" w:tplc="04130019" w:tentative="1">
      <w:start w:val="1"/>
      <w:numFmt w:val="lowerLetter"/>
      <w:lvlText w:val="%5."/>
      <w:lvlJc w:val="left"/>
      <w:pPr>
        <w:ind w:left="3300" w:hanging="360"/>
      </w:pPr>
      <w:rPr>
        <w:rFonts w:cs="Times New Roman"/>
      </w:rPr>
    </w:lvl>
    <w:lvl w:ilvl="5" w:tplc="0413001B" w:tentative="1">
      <w:start w:val="1"/>
      <w:numFmt w:val="lowerRoman"/>
      <w:lvlText w:val="%6."/>
      <w:lvlJc w:val="right"/>
      <w:pPr>
        <w:ind w:left="4020" w:hanging="180"/>
      </w:pPr>
      <w:rPr>
        <w:rFonts w:cs="Times New Roman"/>
      </w:rPr>
    </w:lvl>
    <w:lvl w:ilvl="6" w:tplc="0413000F" w:tentative="1">
      <w:start w:val="1"/>
      <w:numFmt w:val="decimal"/>
      <w:lvlText w:val="%7."/>
      <w:lvlJc w:val="left"/>
      <w:pPr>
        <w:ind w:left="4740" w:hanging="360"/>
      </w:pPr>
      <w:rPr>
        <w:rFonts w:cs="Times New Roman"/>
      </w:rPr>
    </w:lvl>
    <w:lvl w:ilvl="7" w:tplc="04130019" w:tentative="1">
      <w:start w:val="1"/>
      <w:numFmt w:val="lowerLetter"/>
      <w:lvlText w:val="%8."/>
      <w:lvlJc w:val="left"/>
      <w:pPr>
        <w:ind w:left="5460" w:hanging="360"/>
      </w:pPr>
      <w:rPr>
        <w:rFonts w:cs="Times New Roman"/>
      </w:rPr>
    </w:lvl>
    <w:lvl w:ilvl="8" w:tplc="0413001B" w:tentative="1">
      <w:start w:val="1"/>
      <w:numFmt w:val="lowerRoman"/>
      <w:lvlText w:val="%9."/>
      <w:lvlJc w:val="right"/>
      <w:pPr>
        <w:ind w:left="6180" w:hanging="180"/>
      </w:pPr>
      <w:rPr>
        <w:rFonts w:cs="Times New Roman"/>
      </w:rPr>
    </w:lvl>
  </w:abstractNum>
  <w:abstractNum w:abstractNumId="3" w15:restartNumberingAfterBreak="0">
    <w:nsid w:val="34C1111F"/>
    <w:multiLevelType w:val="hybridMultilevel"/>
    <w:tmpl w:val="B764085E"/>
    <w:lvl w:ilvl="0" w:tplc="04130019">
      <w:start w:val="1"/>
      <w:numFmt w:val="lowerLetter"/>
      <w:lvlText w:val="%1."/>
      <w:lvlJc w:val="left"/>
      <w:pPr>
        <w:ind w:left="720" w:hanging="360"/>
      </w:pPr>
      <w:rPr>
        <w:rFonts w:cs="Times New Roman" w:hint="default"/>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3B4F0342"/>
    <w:multiLevelType w:val="hybridMultilevel"/>
    <w:tmpl w:val="79809EF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554F77A2"/>
    <w:multiLevelType w:val="hybridMultilevel"/>
    <w:tmpl w:val="000ABB5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58BB350E"/>
    <w:multiLevelType w:val="hybridMultilevel"/>
    <w:tmpl w:val="3B72D872"/>
    <w:lvl w:ilvl="0" w:tplc="0413000F">
      <w:start w:val="1"/>
      <w:numFmt w:val="decimal"/>
      <w:lvlText w:val="%1."/>
      <w:lvlJc w:val="left"/>
      <w:pPr>
        <w:ind w:left="720" w:hanging="360"/>
      </w:pPr>
      <w:rPr>
        <w:rFonts w:cs="Times New Roman" w:hint="default"/>
        <w:u w:val="non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5B4E77BB"/>
    <w:multiLevelType w:val="hybridMultilevel"/>
    <w:tmpl w:val="98F2055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5BD840B0"/>
    <w:multiLevelType w:val="hybridMultilevel"/>
    <w:tmpl w:val="386AB9A2"/>
    <w:lvl w:ilvl="0" w:tplc="32266452">
      <w:start w:val="1"/>
      <w:numFmt w:val="decimal"/>
      <w:lvlText w:val="%1."/>
      <w:lvlJc w:val="left"/>
      <w:pPr>
        <w:ind w:left="480" w:hanging="360"/>
      </w:pPr>
      <w:rPr>
        <w:rFonts w:cs="Times New Roman" w:hint="default"/>
      </w:rPr>
    </w:lvl>
    <w:lvl w:ilvl="1" w:tplc="04130019" w:tentative="1">
      <w:start w:val="1"/>
      <w:numFmt w:val="lowerLetter"/>
      <w:lvlText w:val="%2."/>
      <w:lvlJc w:val="left"/>
      <w:pPr>
        <w:ind w:left="1200" w:hanging="360"/>
      </w:pPr>
      <w:rPr>
        <w:rFonts w:cs="Times New Roman"/>
      </w:rPr>
    </w:lvl>
    <w:lvl w:ilvl="2" w:tplc="0413001B" w:tentative="1">
      <w:start w:val="1"/>
      <w:numFmt w:val="lowerRoman"/>
      <w:lvlText w:val="%3."/>
      <w:lvlJc w:val="right"/>
      <w:pPr>
        <w:ind w:left="1920" w:hanging="180"/>
      </w:pPr>
      <w:rPr>
        <w:rFonts w:cs="Times New Roman"/>
      </w:rPr>
    </w:lvl>
    <w:lvl w:ilvl="3" w:tplc="0413000F" w:tentative="1">
      <w:start w:val="1"/>
      <w:numFmt w:val="decimal"/>
      <w:lvlText w:val="%4."/>
      <w:lvlJc w:val="left"/>
      <w:pPr>
        <w:ind w:left="2640" w:hanging="360"/>
      </w:pPr>
      <w:rPr>
        <w:rFonts w:cs="Times New Roman"/>
      </w:rPr>
    </w:lvl>
    <w:lvl w:ilvl="4" w:tplc="04130019" w:tentative="1">
      <w:start w:val="1"/>
      <w:numFmt w:val="lowerLetter"/>
      <w:lvlText w:val="%5."/>
      <w:lvlJc w:val="left"/>
      <w:pPr>
        <w:ind w:left="3360" w:hanging="360"/>
      </w:pPr>
      <w:rPr>
        <w:rFonts w:cs="Times New Roman"/>
      </w:rPr>
    </w:lvl>
    <w:lvl w:ilvl="5" w:tplc="0413001B" w:tentative="1">
      <w:start w:val="1"/>
      <w:numFmt w:val="lowerRoman"/>
      <w:lvlText w:val="%6."/>
      <w:lvlJc w:val="right"/>
      <w:pPr>
        <w:ind w:left="4080" w:hanging="180"/>
      </w:pPr>
      <w:rPr>
        <w:rFonts w:cs="Times New Roman"/>
      </w:rPr>
    </w:lvl>
    <w:lvl w:ilvl="6" w:tplc="0413000F" w:tentative="1">
      <w:start w:val="1"/>
      <w:numFmt w:val="decimal"/>
      <w:lvlText w:val="%7."/>
      <w:lvlJc w:val="left"/>
      <w:pPr>
        <w:ind w:left="4800" w:hanging="360"/>
      </w:pPr>
      <w:rPr>
        <w:rFonts w:cs="Times New Roman"/>
      </w:rPr>
    </w:lvl>
    <w:lvl w:ilvl="7" w:tplc="04130019" w:tentative="1">
      <w:start w:val="1"/>
      <w:numFmt w:val="lowerLetter"/>
      <w:lvlText w:val="%8."/>
      <w:lvlJc w:val="left"/>
      <w:pPr>
        <w:ind w:left="5520" w:hanging="360"/>
      </w:pPr>
      <w:rPr>
        <w:rFonts w:cs="Times New Roman"/>
      </w:rPr>
    </w:lvl>
    <w:lvl w:ilvl="8" w:tplc="0413001B" w:tentative="1">
      <w:start w:val="1"/>
      <w:numFmt w:val="lowerRoman"/>
      <w:lvlText w:val="%9."/>
      <w:lvlJc w:val="right"/>
      <w:pPr>
        <w:ind w:left="6240" w:hanging="180"/>
      </w:pPr>
      <w:rPr>
        <w:rFonts w:cs="Times New Roman"/>
      </w:rPr>
    </w:lvl>
  </w:abstractNum>
  <w:abstractNum w:abstractNumId="9" w15:restartNumberingAfterBreak="0">
    <w:nsid w:val="606D1102"/>
    <w:multiLevelType w:val="hybridMultilevel"/>
    <w:tmpl w:val="000ABB5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60C11829"/>
    <w:multiLevelType w:val="hybridMultilevel"/>
    <w:tmpl w:val="86249EF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6E6D1A2E"/>
    <w:multiLevelType w:val="hybridMultilevel"/>
    <w:tmpl w:val="79809EF0"/>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6FB677D3"/>
    <w:multiLevelType w:val="hybridMultilevel"/>
    <w:tmpl w:val="4C84E8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CFA605F"/>
    <w:multiLevelType w:val="hybridMultilevel"/>
    <w:tmpl w:val="F2DA50E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5"/>
  </w:num>
  <w:num w:numId="2">
    <w:abstractNumId w:val="10"/>
  </w:num>
  <w:num w:numId="3">
    <w:abstractNumId w:val="0"/>
  </w:num>
  <w:num w:numId="4">
    <w:abstractNumId w:val="6"/>
  </w:num>
  <w:num w:numId="5">
    <w:abstractNumId w:val="3"/>
  </w:num>
  <w:num w:numId="6">
    <w:abstractNumId w:val="13"/>
  </w:num>
  <w:num w:numId="7">
    <w:abstractNumId w:val="11"/>
  </w:num>
  <w:num w:numId="8">
    <w:abstractNumId w:val="2"/>
  </w:num>
  <w:num w:numId="9">
    <w:abstractNumId w:val="4"/>
  </w:num>
  <w:num w:numId="10">
    <w:abstractNumId w:val="8"/>
  </w:num>
  <w:num w:numId="11">
    <w:abstractNumId w:val="1"/>
  </w:num>
  <w:num w:numId="12">
    <w:abstractNumId w:val="7"/>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24"/>
    <w:rsid w:val="00010006"/>
    <w:rsid w:val="00024340"/>
    <w:rsid w:val="00044DEC"/>
    <w:rsid w:val="00045707"/>
    <w:rsid w:val="000536FF"/>
    <w:rsid w:val="0005697C"/>
    <w:rsid w:val="000C3B6A"/>
    <w:rsid w:val="000D0D98"/>
    <w:rsid w:val="000D11AE"/>
    <w:rsid w:val="000E236C"/>
    <w:rsid w:val="000F3449"/>
    <w:rsid w:val="00103072"/>
    <w:rsid w:val="001109DF"/>
    <w:rsid w:val="001162D1"/>
    <w:rsid w:val="00133DC1"/>
    <w:rsid w:val="001342CD"/>
    <w:rsid w:val="0013464A"/>
    <w:rsid w:val="001724CF"/>
    <w:rsid w:val="001818CC"/>
    <w:rsid w:val="00182214"/>
    <w:rsid w:val="0018657F"/>
    <w:rsid w:val="00187D03"/>
    <w:rsid w:val="001D591F"/>
    <w:rsid w:val="001D5DDD"/>
    <w:rsid w:val="001F3073"/>
    <w:rsid w:val="001F7461"/>
    <w:rsid w:val="00205EEA"/>
    <w:rsid w:val="0021355B"/>
    <w:rsid w:val="00235A07"/>
    <w:rsid w:val="00253CE2"/>
    <w:rsid w:val="00257311"/>
    <w:rsid w:val="0025796C"/>
    <w:rsid w:val="002A4135"/>
    <w:rsid w:val="002C5555"/>
    <w:rsid w:val="002D4116"/>
    <w:rsid w:val="002F27AB"/>
    <w:rsid w:val="002F552A"/>
    <w:rsid w:val="00304C0C"/>
    <w:rsid w:val="0031276A"/>
    <w:rsid w:val="00316D2B"/>
    <w:rsid w:val="00322854"/>
    <w:rsid w:val="00324438"/>
    <w:rsid w:val="00327241"/>
    <w:rsid w:val="00333967"/>
    <w:rsid w:val="00335F24"/>
    <w:rsid w:val="003425D4"/>
    <w:rsid w:val="003606DB"/>
    <w:rsid w:val="00363CBF"/>
    <w:rsid w:val="00376EA6"/>
    <w:rsid w:val="00391B92"/>
    <w:rsid w:val="003C2EAC"/>
    <w:rsid w:val="003C3DA4"/>
    <w:rsid w:val="003D0665"/>
    <w:rsid w:val="00410A19"/>
    <w:rsid w:val="00422C87"/>
    <w:rsid w:val="0047056B"/>
    <w:rsid w:val="0047438D"/>
    <w:rsid w:val="00482B55"/>
    <w:rsid w:val="0048316B"/>
    <w:rsid w:val="004A23BB"/>
    <w:rsid w:val="004C177A"/>
    <w:rsid w:val="004F6DCF"/>
    <w:rsid w:val="00523B38"/>
    <w:rsid w:val="005507BF"/>
    <w:rsid w:val="005525DB"/>
    <w:rsid w:val="0057087C"/>
    <w:rsid w:val="005A662E"/>
    <w:rsid w:val="005B5CBB"/>
    <w:rsid w:val="005C0BE5"/>
    <w:rsid w:val="005D3944"/>
    <w:rsid w:val="005D417C"/>
    <w:rsid w:val="00622035"/>
    <w:rsid w:val="00636838"/>
    <w:rsid w:val="006B1181"/>
    <w:rsid w:val="006C4005"/>
    <w:rsid w:val="006F18AA"/>
    <w:rsid w:val="006F6FFB"/>
    <w:rsid w:val="00700D26"/>
    <w:rsid w:val="00710CB1"/>
    <w:rsid w:val="00712A98"/>
    <w:rsid w:val="00721546"/>
    <w:rsid w:val="00731C8B"/>
    <w:rsid w:val="00734FF0"/>
    <w:rsid w:val="0074149B"/>
    <w:rsid w:val="00752F74"/>
    <w:rsid w:val="0075664A"/>
    <w:rsid w:val="00764236"/>
    <w:rsid w:val="00795B54"/>
    <w:rsid w:val="007D4E01"/>
    <w:rsid w:val="0080127A"/>
    <w:rsid w:val="00815987"/>
    <w:rsid w:val="00833AC6"/>
    <w:rsid w:val="00834A3E"/>
    <w:rsid w:val="008421E6"/>
    <w:rsid w:val="008668A2"/>
    <w:rsid w:val="00867419"/>
    <w:rsid w:val="008715BB"/>
    <w:rsid w:val="00882D06"/>
    <w:rsid w:val="008A25D4"/>
    <w:rsid w:val="008A5706"/>
    <w:rsid w:val="008F0460"/>
    <w:rsid w:val="00914D01"/>
    <w:rsid w:val="00921F47"/>
    <w:rsid w:val="00942A48"/>
    <w:rsid w:val="00942C1F"/>
    <w:rsid w:val="009458BB"/>
    <w:rsid w:val="00956CEC"/>
    <w:rsid w:val="00961281"/>
    <w:rsid w:val="00967408"/>
    <w:rsid w:val="009A76F4"/>
    <w:rsid w:val="009D2D18"/>
    <w:rsid w:val="009E41C4"/>
    <w:rsid w:val="00A063CC"/>
    <w:rsid w:val="00A066D6"/>
    <w:rsid w:val="00A14079"/>
    <w:rsid w:val="00A16AA5"/>
    <w:rsid w:val="00A22CB3"/>
    <w:rsid w:val="00A5418A"/>
    <w:rsid w:val="00A660F9"/>
    <w:rsid w:val="00A679C0"/>
    <w:rsid w:val="00A77731"/>
    <w:rsid w:val="00A920CA"/>
    <w:rsid w:val="00AB5796"/>
    <w:rsid w:val="00AD2EFD"/>
    <w:rsid w:val="00AD43A9"/>
    <w:rsid w:val="00AE52D2"/>
    <w:rsid w:val="00AE7468"/>
    <w:rsid w:val="00AF520B"/>
    <w:rsid w:val="00B37AD9"/>
    <w:rsid w:val="00B50500"/>
    <w:rsid w:val="00B55287"/>
    <w:rsid w:val="00B6007F"/>
    <w:rsid w:val="00B80BEE"/>
    <w:rsid w:val="00B83074"/>
    <w:rsid w:val="00B94A86"/>
    <w:rsid w:val="00BA7E17"/>
    <w:rsid w:val="00BE6AD6"/>
    <w:rsid w:val="00BE7F98"/>
    <w:rsid w:val="00C06BEF"/>
    <w:rsid w:val="00C3417E"/>
    <w:rsid w:val="00C7220E"/>
    <w:rsid w:val="00C83EAA"/>
    <w:rsid w:val="00CC71EB"/>
    <w:rsid w:val="00D06D5C"/>
    <w:rsid w:val="00D27E11"/>
    <w:rsid w:val="00D45EF5"/>
    <w:rsid w:val="00D47A37"/>
    <w:rsid w:val="00D70C6C"/>
    <w:rsid w:val="00D7284F"/>
    <w:rsid w:val="00D81516"/>
    <w:rsid w:val="00D96C70"/>
    <w:rsid w:val="00DA68E4"/>
    <w:rsid w:val="00DB5E54"/>
    <w:rsid w:val="00DC4061"/>
    <w:rsid w:val="00DE618D"/>
    <w:rsid w:val="00DF301E"/>
    <w:rsid w:val="00E064B1"/>
    <w:rsid w:val="00E23833"/>
    <w:rsid w:val="00E538F5"/>
    <w:rsid w:val="00E7219F"/>
    <w:rsid w:val="00E86156"/>
    <w:rsid w:val="00E87AB5"/>
    <w:rsid w:val="00E9556A"/>
    <w:rsid w:val="00EA64C3"/>
    <w:rsid w:val="00EB230B"/>
    <w:rsid w:val="00EB5A38"/>
    <w:rsid w:val="00EC215B"/>
    <w:rsid w:val="00EC74B8"/>
    <w:rsid w:val="00EC7718"/>
    <w:rsid w:val="00EE535D"/>
    <w:rsid w:val="00EF543A"/>
    <w:rsid w:val="00F223B3"/>
    <w:rsid w:val="00F25B15"/>
    <w:rsid w:val="00F26A15"/>
    <w:rsid w:val="00F6383E"/>
    <w:rsid w:val="00F64DE5"/>
    <w:rsid w:val="00F65D04"/>
    <w:rsid w:val="00FB5225"/>
    <w:rsid w:val="00FD6B76"/>
    <w:rsid w:val="00FE4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D8B733D"/>
  <w14:defaultImageDpi w14:val="0"/>
  <w15:docId w15:val="{D3914A43-0DF5-3044-AFDA-79335A31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11AE"/>
    <w:pPr>
      <w:spacing w:after="0"/>
      <w:jc w:val="both"/>
    </w:pPr>
    <w:rPr>
      <w:rFonts w:ascii="Verdana"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16AA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C4005"/>
    <w:pPr>
      <w:tabs>
        <w:tab w:val="center" w:pos="4536"/>
        <w:tab w:val="right" w:pos="9072"/>
      </w:tabs>
      <w:spacing w:line="240" w:lineRule="auto"/>
    </w:pPr>
  </w:style>
  <w:style w:type="character" w:customStyle="1" w:styleId="KoptekstChar">
    <w:name w:val="Koptekst Char"/>
    <w:basedOn w:val="Standaardalinea-lettertype"/>
    <w:link w:val="Koptekst"/>
    <w:uiPriority w:val="99"/>
    <w:locked/>
    <w:rsid w:val="006C4005"/>
    <w:rPr>
      <w:rFonts w:ascii="Verdana" w:hAnsi="Verdana" w:cs="Times New Roman"/>
      <w:sz w:val="18"/>
    </w:rPr>
  </w:style>
  <w:style w:type="paragraph" w:styleId="Voettekst">
    <w:name w:val="footer"/>
    <w:basedOn w:val="Standaard"/>
    <w:link w:val="VoettekstChar"/>
    <w:uiPriority w:val="99"/>
    <w:unhideWhenUsed/>
    <w:rsid w:val="006C4005"/>
    <w:pPr>
      <w:tabs>
        <w:tab w:val="center" w:pos="4536"/>
        <w:tab w:val="right" w:pos="9072"/>
      </w:tabs>
      <w:spacing w:line="240" w:lineRule="auto"/>
    </w:pPr>
  </w:style>
  <w:style w:type="character" w:customStyle="1" w:styleId="VoettekstChar">
    <w:name w:val="Voettekst Char"/>
    <w:basedOn w:val="Standaardalinea-lettertype"/>
    <w:link w:val="Voettekst"/>
    <w:uiPriority w:val="99"/>
    <w:locked/>
    <w:rsid w:val="006C4005"/>
    <w:rPr>
      <w:rFonts w:ascii="Verdana" w:hAnsi="Verdana" w:cs="Times New Roman"/>
      <w:sz w:val="18"/>
    </w:rPr>
  </w:style>
  <w:style w:type="character" w:styleId="Hyperlink">
    <w:name w:val="Hyperlink"/>
    <w:basedOn w:val="Standaardalinea-lettertype"/>
    <w:uiPriority w:val="99"/>
    <w:rsid w:val="00E7219F"/>
    <w:rPr>
      <w:rFonts w:cs="Times New Roman"/>
      <w:color w:val="0000FF"/>
      <w:u w:val="single"/>
    </w:rPr>
  </w:style>
  <w:style w:type="paragraph" w:styleId="Lijstalinea">
    <w:name w:val="List Paragraph"/>
    <w:basedOn w:val="Standaard"/>
    <w:uiPriority w:val="34"/>
    <w:qFormat/>
    <w:rsid w:val="00EA64C3"/>
    <w:pPr>
      <w:ind w:left="720"/>
      <w:contextualSpacing/>
    </w:pPr>
  </w:style>
  <w:style w:type="paragraph" w:styleId="Voetnoottekst">
    <w:name w:val="footnote text"/>
    <w:basedOn w:val="Standaard"/>
    <w:link w:val="VoetnoottekstChar"/>
    <w:uiPriority w:val="99"/>
    <w:rsid w:val="00523B38"/>
    <w:pPr>
      <w:spacing w:line="240" w:lineRule="auto"/>
    </w:pPr>
    <w:rPr>
      <w:sz w:val="20"/>
      <w:szCs w:val="20"/>
    </w:rPr>
  </w:style>
  <w:style w:type="character" w:customStyle="1" w:styleId="VoetnoottekstChar">
    <w:name w:val="Voetnoottekst Char"/>
    <w:basedOn w:val="Standaardalinea-lettertype"/>
    <w:link w:val="Voetnoottekst"/>
    <w:uiPriority w:val="99"/>
    <w:locked/>
    <w:rsid w:val="00523B38"/>
    <w:rPr>
      <w:rFonts w:ascii="Verdana" w:hAnsi="Verdana" w:cs="Times New Roman"/>
      <w:sz w:val="20"/>
      <w:szCs w:val="20"/>
    </w:rPr>
  </w:style>
  <w:style w:type="character" w:styleId="Voetnootmarkering">
    <w:name w:val="footnote reference"/>
    <w:basedOn w:val="Standaardalinea-lettertype"/>
    <w:uiPriority w:val="99"/>
    <w:rsid w:val="00523B38"/>
    <w:rPr>
      <w:rFonts w:cs="Times New Roman"/>
      <w:vertAlign w:val="superscript"/>
    </w:rPr>
  </w:style>
  <w:style w:type="character" w:styleId="Verwijzingopmerking">
    <w:name w:val="annotation reference"/>
    <w:basedOn w:val="Standaardalinea-lettertype"/>
    <w:uiPriority w:val="99"/>
    <w:rsid w:val="00914D01"/>
    <w:rPr>
      <w:rFonts w:cs="Times New Roman"/>
      <w:sz w:val="16"/>
      <w:szCs w:val="16"/>
    </w:rPr>
  </w:style>
  <w:style w:type="paragraph" w:styleId="Tekstopmerking">
    <w:name w:val="annotation text"/>
    <w:basedOn w:val="Standaard"/>
    <w:link w:val="TekstopmerkingChar"/>
    <w:uiPriority w:val="99"/>
    <w:rsid w:val="00914D01"/>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914D01"/>
    <w:rPr>
      <w:rFonts w:ascii="Verdana" w:hAnsi="Verdana" w:cs="Times New Roman"/>
      <w:sz w:val="20"/>
      <w:szCs w:val="20"/>
    </w:rPr>
  </w:style>
  <w:style w:type="paragraph" w:styleId="Onderwerpvanopmerking">
    <w:name w:val="annotation subject"/>
    <w:basedOn w:val="Tekstopmerking"/>
    <w:next w:val="Tekstopmerking"/>
    <w:link w:val="OnderwerpvanopmerkingChar"/>
    <w:uiPriority w:val="99"/>
    <w:rsid w:val="00914D01"/>
    <w:rPr>
      <w:b/>
      <w:bCs/>
    </w:rPr>
  </w:style>
  <w:style w:type="character" w:customStyle="1" w:styleId="OnderwerpvanopmerkingChar">
    <w:name w:val="Onderwerp van opmerking Char"/>
    <w:basedOn w:val="TekstopmerkingChar"/>
    <w:link w:val="Onderwerpvanopmerking"/>
    <w:uiPriority w:val="99"/>
    <w:locked/>
    <w:rsid w:val="00914D01"/>
    <w:rPr>
      <w:rFonts w:ascii="Verdana" w:hAnsi="Verdana" w:cs="Times New Roman"/>
      <w:b/>
      <w:bCs/>
      <w:sz w:val="20"/>
      <w:szCs w:val="20"/>
    </w:rPr>
  </w:style>
  <w:style w:type="paragraph" w:customStyle="1" w:styleId="artikelkop">
    <w:name w:val="artikel_kop"/>
    <w:basedOn w:val="Standaard"/>
    <w:rsid w:val="00721546"/>
    <w:pPr>
      <w:spacing w:before="100" w:beforeAutospacing="1" w:after="100" w:afterAutospacing="1" w:line="240" w:lineRule="auto"/>
      <w:jc w:val="left"/>
    </w:pPr>
    <w:rPr>
      <w:rFonts w:ascii="Times New Roman" w:hAnsi="Times New Roman"/>
      <w:sz w:val="24"/>
      <w:szCs w:val="24"/>
      <w:lang w:eastAsia="nl-NL"/>
    </w:rPr>
  </w:style>
  <w:style w:type="character" w:customStyle="1" w:styleId="artikelkop1">
    <w:name w:val="artikel_kop1"/>
    <w:basedOn w:val="Standaardalinea-lettertype"/>
    <w:rsid w:val="00721546"/>
    <w:rPr>
      <w:rFonts w:cs="Times New Roman"/>
    </w:rPr>
  </w:style>
  <w:style w:type="paragraph" w:customStyle="1" w:styleId="al">
    <w:name w:val="al"/>
    <w:basedOn w:val="Standaard"/>
    <w:rsid w:val="00721546"/>
    <w:pPr>
      <w:spacing w:before="100" w:beforeAutospacing="1" w:after="100" w:afterAutospacing="1" w:line="240" w:lineRule="auto"/>
      <w:jc w:val="left"/>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90961">
      <w:marLeft w:val="0"/>
      <w:marRight w:val="0"/>
      <w:marTop w:val="0"/>
      <w:marBottom w:val="0"/>
      <w:divBdr>
        <w:top w:val="none" w:sz="0" w:space="0" w:color="auto"/>
        <w:left w:val="none" w:sz="0" w:space="0" w:color="auto"/>
        <w:bottom w:val="none" w:sz="0" w:space="0" w:color="auto"/>
        <w:right w:val="none" w:sz="0" w:space="0" w:color="auto"/>
      </w:divBdr>
    </w:div>
    <w:div w:id="11179909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2449</Words>
  <Characters>13470</Characters>
  <Application>Microsoft Office Word</Application>
  <DocSecurity>0</DocSecurity>
  <Lines>112</Lines>
  <Paragraphs>31</Paragraphs>
  <ScaleCrop>false</ScaleCrop>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aanpassen</dc:creator>
  <cp:keywords/>
  <dc:description/>
  <cp:lastModifiedBy>Truus Vernhout</cp:lastModifiedBy>
  <cp:revision>2</cp:revision>
  <dcterms:created xsi:type="dcterms:W3CDTF">2021-09-29T20:34:00Z</dcterms:created>
  <dcterms:modified xsi:type="dcterms:W3CDTF">2021-09-29T20:34:00Z</dcterms:modified>
</cp:coreProperties>
</file>